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2.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3.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310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3"/>
        <w:gridCol w:w="8646"/>
        <w:gridCol w:w="6237"/>
      </w:tblGrid>
      <w:tr w:rsidR="00993F9D" w:rsidRPr="005F40F2" w14:paraId="7A25F359" w14:textId="78824E98" w:rsidTr="009B0CEE">
        <w:tc>
          <w:tcPr>
            <w:tcW w:w="8223" w:type="dxa"/>
          </w:tcPr>
          <w:p w14:paraId="406E7D89" w14:textId="77777777" w:rsidR="00993F9D" w:rsidRPr="00796FD5" w:rsidRDefault="00993F9D" w:rsidP="00993F9D">
            <w:pPr>
              <w:spacing w:after="120"/>
              <w:rPr>
                <w:rFonts w:ascii="National 2" w:hAnsi="National 2"/>
                <w:b/>
                <w:bCs/>
                <w:color w:val="00A6A7"/>
                <w:sz w:val="32"/>
                <w:szCs w:val="32"/>
              </w:rPr>
            </w:pPr>
            <w:r w:rsidRPr="00796FD5">
              <w:rPr>
                <w:rFonts w:ascii="National 2" w:hAnsi="National 2"/>
                <w:b/>
                <w:bCs/>
                <w:color w:val="00A6A7"/>
                <w:sz w:val="32"/>
                <w:szCs w:val="32"/>
              </w:rPr>
              <w:t>Auckland Region (2022)</w:t>
            </w:r>
          </w:p>
          <w:p w14:paraId="69D2C5BC" w14:textId="27DC4F3D" w:rsidR="00993F9D" w:rsidRDefault="00993F9D" w:rsidP="00993F9D">
            <w:pPr>
              <w:spacing w:after="120"/>
              <w:rPr>
                <w:rFonts w:ascii="National 2" w:hAnsi="National 2"/>
                <w:sz w:val="18"/>
                <w:szCs w:val="18"/>
              </w:rPr>
            </w:pPr>
            <w:r w:rsidRPr="00CA2529">
              <w:rPr>
                <w:rFonts w:ascii="National 2" w:hAnsi="National 2"/>
                <w:b/>
                <w:bCs/>
                <w:color w:val="00A6A7"/>
                <w:sz w:val="18"/>
                <w:szCs w:val="18"/>
              </w:rPr>
              <w:t>Auckland</w:t>
            </w:r>
            <w:r w:rsidRPr="00EB1E1D">
              <w:rPr>
                <w:rFonts w:ascii="National 2" w:hAnsi="National 2"/>
                <w:sz w:val="18"/>
                <w:szCs w:val="18"/>
              </w:rPr>
              <w:t xml:space="preserve"> is home to over </w:t>
            </w:r>
            <w:r w:rsidRPr="00EB1E1D">
              <w:rPr>
                <w:rFonts w:ascii="National 2" w:hAnsi="National 2"/>
                <w:b/>
                <w:bCs/>
                <w:sz w:val="18"/>
                <w:szCs w:val="18"/>
              </w:rPr>
              <w:t xml:space="preserve">800,000 jobs </w:t>
            </w:r>
            <w:r w:rsidRPr="00EB1E1D">
              <w:rPr>
                <w:rFonts w:ascii="National 2" w:hAnsi="National 2"/>
                <w:sz w:val="18"/>
                <w:szCs w:val="18"/>
              </w:rPr>
              <w:t xml:space="preserve">making it the country’s largest employment </w:t>
            </w:r>
            <w:r>
              <w:rPr>
                <w:rFonts w:ascii="National 2" w:hAnsi="National 2"/>
                <w:sz w:val="18"/>
                <w:szCs w:val="18"/>
              </w:rPr>
              <w:t>c</w:t>
            </w:r>
            <w:r w:rsidRPr="00EB1E1D">
              <w:rPr>
                <w:rFonts w:ascii="National 2" w:hAnsi="National 2"/>
                <w:sz w:val="18"/>
                <w:szCs w:val="18"/>
              </w:rPr>
              <w:t>entre.</w:t>
            </w:r>
          </w:p>
          <w:p w14:paraId="1BF1525F" w14:textId="0BD9608D" w:rsidR="00993F9D" w:rsidRPr="00EB1E1D" w:rsidRDefault="004D45B8" w:rsidP="00993F9D">
            <w:pPr>
              <w:spacing w:after="120"/>
              <w:rPr>
                <w:rFonts w:ascii="National 2" w:hAnsi="National 2"/>
                <w:sz w:val="18"/>
                <w:szCs w:val="18"/>
              </w:rPr>
            </w:pPr>
            <w:r w:rsidRPr="004D45B8">
              <w:rPr>
                <w:rFonts w:ascii="National 2" w:hAnsi="National 2"/>
                <w:sz w:val="18"/>
                <w:szCs w:val="18"/>
              </w:rPr>
              <w:t>The Auckland Economy has grown over the last 20 years, in part to serve the increased demand for goods and services as the population of the region has grown</w:t>
            </w:r>
            <w:r>
              <w:rPr>
                <w:rFonts w:ascii="National 2" w:hAnsi="National 2"/>
                <w:sz w:val="18"/>
                <w:szCs w:val="18"/>
              </w:rPr>
              <w:t xml:space="preserve">.  </w:t>
            </w:r>
            <w:r w:rsidR="00993F9D" w:rsidRPr="00D96A0D">
              <w:rPr>
                <w:rFonts w:ascii="National 2" w:hAnsi="National 2"/>
                <w:sz w:val="18"/>
                <w:szCs w:val="18"/>
              </w:rPr>
              <w:t>There has been a fifty-six percent increase in the number of jobs located in the region compared to 2002.</w:t>
            </w:r>
            <w:r w:rsidR="00993F9D" w:rsidRPr="00EB1E1D">
              <w:rPr>
                <w:rFonts w:ascii="National 2" w:hAnsi="National 2"/>
                <w:sz w:val="18"/>
                <w:szCs w:val="18"/>
              </w:rPr>
              <w:t xml:space="preserve">  </w:t>
            </w:r>
            <w:r w:rsidR="00993F9D">
              <w:rPr>
                <w:rFonts w:ascii="National 2" w:hAnsi="National 2"/>
                <w:sz w:val="18"/>
                <w:szCs w:val="18"/>
              </w:rPr>
              <w:t>A prolonged period of growth in the construction sector as well as strong growth in professional services, healthcare, retail trade and accommodation &amp; food services have provided much of the employment growth although almost all other sectors have shown some growth.</w:t>
            </w:r>
          </w:p>
          <w:p w14:paraId="55F8BCC0" w14:textId="0445B3C8" w:rsidR="00993F9D" w:rsidRDefault="00993F9D" w:rsidP="00993F9D">
            <w:pPr>
              <w:spacing w:after="120"/>
              <w:rPr>
                <w:rFonts w:ascii="National 2" w:hAnsi="National 2"/>
                <w:sz w:val="18"/>
                <w:szCs w:val="18"/>
              </w:rPr>
            </w:pPr>
            <w:r w:rsidRPr="00EB1E1D">
              <w:rPr>
                <w:rFonts w:ascii="National 2" w:hAnsi="National 2"/>
                <w:sz w:val="18"/>
                <w:szCs w:val="18"/>
              </w:rPr>
              <w:t>A recent decline is likely to be associated with the impact of the COVID-19 pandemic</w:t>
            </w:r>
            <w:r>
              <w:rPr>
                <w:rFonts w:ascii="National 2" w:hAnsi="National 2"/>
                <w:sz w:val="18"/>
                <w:szCs w:val="18"/>
              </w:rPr>
              <w:t xml:space="preserve"> which has impacted different sectors in different ways with transport, postal &amp; warehousing, accommodation &amp; food services particularly affected.</w:t>
            </w:r>
          </w:p>
          <w:p w14:paraId="02857BE6" w14:textId="44624C19" w:rsidR="00993F9D" w:rsidRPr="00306DE5" w:rsidRDefault="00993F9D" w:rsidP="00993F9D">
            <w:pPr>
              <w:spacing w:after="120"/>
              <w:rPr>
                <w:rFonts w:ascii="National 2" w:hAnsi="National 2"/>
                <w:b/>
                <w:bCs/>
                <w:color w:val="1B384F"/>
              </w:rPr>
            </w:pPr>
            <w:r w:rsidRPr="00306DE5">
              <w:rPr>
                <w:rFonts w:ascii="National 2" w:hAnsi="National 2"/>
                <w:b/>
                <w:bCs/>
                <w:color w:val="1B384F"/>
              </w:rPr>
              <w:t>Basic Facts</w:t>
            </w:r>
          </w:p>
          <w:tbl>
            <w:tblPr>
              <w:tblStyle w:val="TableGrid"/>
              <w:tblW w:w="0" w:type="auto"/>
              <w:tblLayout w:type="fixed"/>
              <w:tblLook w:val="04A0" w:firstRow="1" w:lastRow="0" w:firstColumn="1" w:lastColumn="0" w:noHBand="0" w:noVBand="1"/>
            </w:tblPr>
            <w:tblGrid>
              <w:gridCol w:w="3007"/>
              <w:gridCol w:w="1843"/>
              <w:gridCol w:w="1843"/>
            </w:tblGrid>
            <w:tr w:rsidR="00993F9D" w:rsidRPr="00254A22" w14:paraId="71BDF7C2" w14:textId="77777777" w:rsidTr="00E5661C">
              <w:trPr>
                <w:trHeight w:val="255"/>
              </w:trPr>
              <w:tc>
                <w:tcPr>
                  <w:tcW w:w="3007" w:type="dxa"/>
                  <w:vAlign w:val="center"/>
                </w:tcPr>
                <w:p w14:paraId="1FC12958" w14:textId="77777777" w:rsidR="00993F9D" w:rsidRPr="00254A22" w:rsidRDefault="00993F9D" w:rsidP="00993F9D">
                  <w:pPr>
                    <w:rPr>
                      <w:rFonts w:ascii="National 2" w:hAnsi="National 2" w:cs="Calibri"/>
                      <w:b/>
                      <w:bCs/>
                      <w:sz w:val="18"/>
                      <w:szCs w:val="18"/>
                    </w:rPr>
                  </w:pPr>
                  <w:r w:rsidRPr="00254A22">
                    <w:rPr>
                      <w:rFonts w:ascii="Calibri" w:hAnsi="Calibri" w:cs="Calibri"/>
                      <w:b/>
                      <w:bCs/>
                      <w:color w:val="000000"/>
                      <w:sz w:val="18"/>
                      <w:szCs w:val="18"/>
                    </w:rPr>
                    <w:t> </w:t>
                  </w:r>
                </w:p>
              </w:tc>
              <w:tc>
                <w:tcPr>
                  <w:tcW w:w="1843" w:type="dxa"/>
                  <w:vAlign w:val="center"/>
                </w:tcPr>
                <w:p w14:paraId="505BD3D5" w14:textId="77777777" w:rsidR="00993F9D" w:rsidRPr="00254A22" w:rsidRDefault="00993F9D" w:rsidP="00993F9D">
                  <w:pPr>
                    <w:jc w:val="center"/>
                    <w:rPr>
                      <w:rFonts w:ascii="National 2" w:hAnsi="National 2" w:cs="Calibri"/>
                      <w:b/>
                      <w:bCs/>
                      <w:sz w:val="18"/>
                      <w:szCs w:val="18"/>
                    </w:rPr>
                  </w:pPr>
                  <w:r w:rsidRPr="00254A22">
                    <w:rPr>
                      <w:rFonts w:ascii="National 2" w:hAnsi="National 2" w:cs="Calibri"/>
                      <w:b/>
                      <w:bCs/>
                      <w:color w:val="000000"/>
                      <w:sz w:val="18"/>
                      <w:szCs w:val="18"/>
                    </w:rPr>
                    <w:t>Auckland</w:t>
                  </w:r>
                </w:p>
              </w:tc>
              <w:tc>
                <w:tcPr>
                  <w:tcW w:w="1843" w:type="dxa"/>
                  <w:vAlign w:val="center"/>
                </w:tcPr>
                <w:p w14:paraId="6DDA7B6D" w14:textId="77777777" w:rsidR="00993F9D" w:rsidRPr="00254A22" w:rsidRDefault="00993F9D" w:rsidP="00993F9D">
                  <w:pPr>
                    <w:jc w:val="center"/>
                    <w:rPr>
                      <w:rFonts w:ascii="National 2" w:hAnsi="National 2" w:cs="Calibri"/>
                      <w:b/>
                      <w:bCs/>
                      <w:sz w:val="18"/>
                      <w:szCs w:val="18"/>
                    </w:rPr>
                  </w:pPr>
                  <w:r w:rsidRPr="00254A22">
                    <w:rPr>
                      <w:rFonts w:ascii="National 2" w:hAnsi="National 2" w:cs="Calibri"/>
                      <w:b/>
                      <w:bCs/>
                      <w:color w:val="000000"/>
                      <w:sz w:val="18"/>
                      <w:szCs w:val="18"/>
                    </w:rPr>
                    <w:t>% of NZ</w:t>
                  </w:r>
                </w:p>
              </w:tc>
            </w:tr>
            <w:tr w:rsidR="00993F9D" w:rsidRPr="00254A22" w14:paraId="18C50CF4" w14:textId="77777777" w:rsidTr="00E5661C">
              <w:trPr>
                <w:trHeight w:val="255"/>
              </w:trPr>
              <w:tc>
                <w:tcPr>
                  <w:tcW w:w="3007" w:type="dxa"/>
                  <w:vAlign w:val="center"/>
                </w:tcPr>
                <w:p w14:paraId="1FD6D4B9" w14:textId="5C393098" w:rsidR="00993F9D" w:rsidRPr="00254A22" w:rsidRDefault="00993F9D" w:rsidP="00993F9D">
                  <w:pPr>
                    <w:rPr>
                      <w:rFonts w:ascii="National 2" w:hAnsi="National 2" w:cs="Calibri"/>
                      <w:sz w:val="18"/>
                      <w:szCs w:val="18"/>
                    </w:rPr>
                  </w:pPr>
                  <w:r w:rsidRPr="00254A22">
                    <w:rPr>
                      <w:rFonts w:ascii="National 2" w:hAnsi="National 2" w:cs="Calibri"/>
                      <w:color w:val="000000"/>
                      <w:sz w:val="18"/>
                      <w:szCs w:val="18"/>
                    </w:rPr>
                    <w:t>Population (</w:t>
                  </w:r>
                  <w:r w:rsidR="0000084E">
                    <w:rPr>
                      <w:rFonts w:ascii="National 2" w:hAnsi="National 2" w:cs="Calibri"/>
                      <w:color w:val="000000"/>
                      <w:sz w:val="18"/>
                      <w:szCs w:val="18"/>
                    </w:rPr>
                    <w:t>2022 est.</w:t>
                  </w:r>
                  <w:r w:rsidR="007636E7">
                    <w:rPr>
                      <w:rFonts w:ascii="National 2" w:hAnsi="National 2" w:cs="Calibri"/>
                      <w:color w:val="000000"/>
                      <w:sz w:val="18"/>
                      <w:szCs w:val="18"/>
                    </w:rPr>
                    <w:t>)</w:t>
                  </w:r>
                </w:p>
              </w:tc>
              <w:tc>
                <w:tcPr>
                  <w:tcW w:w="1843" w:type="dxa"/>
                  <w:vAlign w:val="center"/>
                </w:tcPr>
                <w:p w14:paraId="0FAB91CE" w14:textId="499EE169" w:rsidR="00993F9D" w:rsidRPr="00254A22" w:rsidRDefault="00993F9D" w:rsidP="00993F9D">
                  <w:pPr>
                    <w:jc w:val="center"/>
                    <w:rPr>
                      <w:rFonts w:ascii="National 2" w:hAnsi="National 2" w:cs="Calibri"/>
                      <w:sz w:val="18"/>
                      <w:szCs w:val="18"/>
                    </w:rPr>
                  </w:pPr>
                  <w:r w:rsidRPr="00254A22">
                    <w:rPr>
                      <w:rFonts w:ascii="National 2" w:hAnsi="National 2" w:cs="Calibri"/>
                      <w:color w:val="000000"/>
                      <w:sz w:val="18"/>
                      <w:szCs w:val="18"/>
                    </w:rPr>
                    <w:t>1,</w:t>
                  </w:r>
                  <w:r w:rsidR="0000084E">
                    <w:rPr>
                      <w:rFonts w:ascii="National 2" w:hAnsi="National 2" w:cs="Calibri"/>
                      <w:color w:val="000000"/>
                      <w:sz w:val="18"/>
                      <w:szCs w:val="18"/>
                    </w:rPr>
                    <w:t>6</w:t>
                  </w:r>
                  <w:r w:rsidRPr="00254A22">
                    <w:rPr>
                      <w:rFonts w:ascii="National 2" w:hAnsi="National 2" w:cs="Calibri"/>
                      <w:color w:val="000000"/>
                      <w:sz w:val="18"/>
                      <w:szCs w:val="18"/>
                    </w:rPr>
                    <w:t>9</w:t>
                  </w:r>
                  <w:r w:rsidR="0000084E">
                    <w:rPr>
                      <w:rFonts w:ascii="National 2" w:hAnsi="National 2" w:cs="Calibri"/>
                      <w:color w:val="000000"/>
                      <w:sz w:val="18"/>
                      <w:szCs w:val="18"/>
                    </w:rPr>
                    <w:t>5</w:t>
                  </w:r>
                  <w:r w:rsidRPr="00254A22">
                    <w:rPr>
                      <w:rFonts w:ascii="National 2" w:hAnsi="National 2" w:cs="Calibri"/>
                      <w:color w:val="000000"/>
                      <w:sz w:val="18"/>
                      <w:szCs w:val="18"/>
                    </w:rPr>
                    <w:t>,2</w:t>
                  </w:r>
                  <w:r w:rsidR="0000084E">
                    <w:rPr>
                      <w:rFonts w:ascii="National 2" w:hAnsi="National 2" w:cs="Calibri"/>
                      <w:color w:val="000000"/>
                      <w:sz w:val="18"/>
                      <w:szCs w:val="18"/>
                    </w:rPr>
                    <w:t>00</w:t>
                  </w:r>
                </w:p>
              </w:tc>
              <w:tc>
                <w:tcPr>
                  <w:tcW w:w="1843" w:type="dxa"/>
                  <w:vAlign w:val="center"/>
                </w:tcPr>
                <w:p w14:paraId="44054216" w14:textId="573A7393" w:rsidR="00993F9D" w:rsidRPr="00254A22" w:rsidRDefault="00993F9D" w:rsidP="00993F9D">
                  <w:pPr>
                    <w:jc w:val="center"/>
                    <w:rPr>
                      <w:rFonts w:ascii="National 2" w:hAnsi="National 2" w:cs="Calibri"/>
                      <w:sz w:val="18"/>
                      <w:szCs w:val="18"/>
                    </w:rPr>
                  </w:pPr>
                  <w:r w:rsidRPr="00254A22">
                    <w:rPr>
                      <w:rFonts w:ascii="National 2" w:hAnsi="National 2" w:cs="Calibri"/>
                      <w:color w:val="000000"/>
                      <w:sz w:val="18"/>
                      <w:szCs w:val="18"/>
                    </w:rPr>
                    <w:t>33.</w:t>
                  </w:r>
                  <w:r w:rsidR="009E29F5">
                    <w:rPr>
                      <w:rFonts w:ascii="National 2" w:hAnsi="National 2" w:cs="Calibri"/>
                      <w:color w:val="000000"/>
                      <w:sz w:val="18"/>
                      <w:szCs w:val="18"/>
                    </w:rPr>
                    <w:t>1</w:t>
                  </w:r>
                  <w:r w:rsidRPr="00254A22">
                    <w:rPr>
                      <w:rFonts w:ascii="National 2" w:hAnsi="National 2" w:cs="Calibri"/>
                      <w:color w:val="000000"/>
                      <w:sz w:val="18"/>
                      <w:szCs w:val="18"/>
                    </w:rPr>
                    <w:t>%</w:t>
                  </w:r>
                </w:p>
              </w:tc>
            </w:tr>
            <w:tr w:rsidR="00993F9D" w:rsidRPr="00254A22" w14:paraId="7FDDFD9A" w14:textId="77777777" w:rsidTr="00E5661C">
              <w:trPr>
                <w:trHeight w:val="255"/>
              </w:trPr>
              <w:tc>
                <w:tcPr>
                  <w:tcW w:w="3007" w:type="dxa"/>
                  <w:vAlign w:val="center"/>
                </w:tcPr>
                <w:p w14:paraId="5A8EA0A4" w14:textId="77777777" w:rsidR="00993F9D" w:rsidRPr="00254A22" w:rsidRDefault="00993F9D" w:rsidP="00993F9D">
                  <w:pPr>
                    <w:rPr>
                      <w:rFonts w:ascii="National 2" w:hAnsi="National 2" w:cs="Calibri"/>
                      <w:sz w:val="18"/>
                      <w:szCs w:val="18"/>
                    </w:rPr>
                  </w:pPr>
                  <w:r w:rsidRPr="00254A22">
                    <w:rPr>
                      <w:rFonts w:ascii="National 2" w:hAnsi="National 2" w:cs="Calibri"/>
                      <w:color w:val="000000"/>
                      <w:sz w:val="18"/>
                      <w:szCs w:val="18"/>
                    </w:rPr>
                    <w:t>Area</w:t>
                  </w:r>
                </w:p>
              </w:tc>
              <w:tc>
                <w:tcPr>
                  <w:tcW w:w="1843" w:type="dxa"/>
                  <w:vAlign w:val="center"/>
                </w:tcPr>
                <w:p w14:paraId="2CB58FAB" w14:textId="77777777" w:rsidR="00993F9D" w:rsidRPr="00254A22" w:rsidRDefault="00993F9D" w:rsidP="00993F9D">
                  <w:pPr>
                    <w:jc w:val="center"/>
                    <w:rPr>
                      <w:rFonts w:ascii="National 2" w:hAnsi="National 2" w:cs="Calibri"/>
                      <w:sz w:val="18"/>
                      <w:szCs w:val="18"/>
                    </w:rPr>
                  </w:pPr>
                  <w:r w:rsidRPr="00254A22">
                    <w:rPr>
                      <w:rFonts w:ascii="National 2" w:hAnsi="National 2" w:cs="Calibri"/>
                      <w:color w:val="000000"/>
                      <w:sz w:val="18"/>
                      <w:szCs w:val="18"/>
                    </w:rPr>
                    <w:t>4,941 KM</w:t>
                  </w:r>
                  <w:r w:rsidRPr="00E5661C">
                    <w:rPr>
                      <w:rFonts w:ascii="National 2" w:hAnsi="National 2" w:cs="Calibri"/>
                      <w:color w:val="000000"/>
                      <w:sz w:val="18"/>
                      <w:szCs w:val="18"/>
                      <w:vertAlign w:val="superscript"/>
                    </w:rPr>
                    <w:t>2</w:t>
                  </w:r>
                </w:p>
              </w:tc>
              <w:tc>
                <w:tcPr>
                  <w:tcW w:w="1843" w:type="dxa"/>
                  <w:vAlign w:val="center"/>
                </w:tcPr>
                <w:p w14:paraId="4C554FAA" w14:textId="77777777" w:rsidR="00993F9D" w:rsidRPr="00254A22" w:rsidRDefault="00993F9D" w:rsidP="00993F9D">
                  <w:pPr>
                    <w:jc w:val="center"/>
                    <w:rPr>
                      <w:rFonts w:ascii="National 2" w:hAnsi="National 2" w:cs="Calibri"/>
                      <w:sz w:val="18"/>
                      <w:szCs w:val="18"/>
                    </w:rPr>
                  </w:pPr>
                  <w:r w:rsidRPr="00254A22">
                    <w:rPr>
                      <w:rFonts w:ascii="National 2" w:hAnsi="National 2" w:cs="Calibri"/>
                      <w:color w:val="000000"/>
                      <w:sz w:val="18"/>
                      <w:szCs w:val="18"/>
                    </w:rPr>
                    <w:t>1.8%</w:t>
                  </w:r>
                </w:p>
              </w:tc>
            </w:tr>
            <w:tr w:rsidR="00993F9D" w:rsidRPr="00242179" w14:paraId="1207371E" w14:textId="77777777" w:rsidTr="00E5661C">
              <w:trPr>
                <w:trHeight w:val="255"/>
              </w:trPr>
              <w:tc>
                <w:tcPr>
                  <w:tcW w:w="3007" w:type="dxa"/>
                  <w:vAlign w:val="center"/>
                </w:tcPr>
                <w:p w14:paraId="0256FCC7" w14:textId="77777777" w:rsidR="00993F9D" w:rsidRPr="00242179" w:rsidRDefault="00993F9D" w:rsidP="00993F9D">
                  <w:pPr>
                    <w:rPr>
                      <w:rFonts w:ascii="National 2" w:hAnsi="National 2" w:cs="Calibri"/>
                      <w:sz w:val="18"/>
                      <w:szCs w:val="18"/>
                    </w:rPr>
                  </w:pPr>
                  <w:r w:rsidRPr="00242179">
                    <w:rPr>
                      <w:rFonts w:ascii="National 2" w:hAnsi="National 2" w:cs="Calibri"/>
                      <w:color w:val="000000"/>
                      <w:sz w:val="18"/>
                      <w:szCs w:val="18"/>
                    </w:rPr>
                    <w:t>Jobs (202</w:t>
                  </w:r>
                  <w:r>
                    <w:rPr>
                      <w:rFonts w:ascii="National 2" w:hAnsi="National 2" w:cs="Calibri"/>
                      <w:color w:val="000000"/>
                      <w:sz w:val="18"/>
                      <w:szCs w:val="18"/>
                    </w:rPr>
                    <w:t>2</w:t>
                  </w:r>
                  <w:r w:rsidRPr="00242179">
                    <w:rPr>
                      <w:rFonts w:ascii="National 2" w:hAnsi="National 2" w:cs="Calibri"/>
                      <w:color w:val="000000"/>
                      <w:sz w:val="18"/>
                      <w:szCs w:val="18"/>
                    </w:rPr>
                    <w:t>)</w:t>
                  </w:r>
                </w:p>
              </w:tc>
              <w:tc>
                <w:tcPr>
                  <w:tcW w:w="1843" w:type="dxa"/>
                  <w:vAlign w:val="center"/>
                </w:tcPr>
                <w:p w14:paraId="5E2C0D46" w14:textId="77777777" w:rsidR="00993F9D" w:rsidRPr="00242179" w:rsidRDefault="00993F9D" w:rsidP="00993F9D">
                  <w:pPr>
                    <w:jc w:val="center"/>
                    <w:rPr>
                      <w:rFonts w:ascii="National 2" w:hAnsi="National 2" w:cs="Calibri"/>
                      <w:sz w:val="18"/>
                      <w:szCs w:val="18"/>
                    </w:rPr>
                  </w:pPr>
                  <w:r w:rsidRPr="00242179">
                    <w:rPr>
                      <w:rFonts w:ascii="National 2" w:hAnsi="National 2" w:cs="Calibri"/>
                      <w:color w:val="000000"/>
                      <w:sz w:val="18"/>
                      <w:szCs w:val="18"/>
                    </w:rPr>
                    <w:t>836,200</w:t>
                  </w:r>
                </w:p>
              </w:tc>
              <w:tc>
                <w:tcPr>
                  <w:tcW w:w="1843" w:type="dxa"/>
                  <w:vAlign w:val="center"/>
                </w:tcPr>
                <w:p w14:paraId="5B060C00" w14:textId="77777777" w:rsidR="00993F9D" w:rsidRPr="00242179" w:rsidRDefault="00993F9D" w:rsidP="00993F9D">
                  <w:pPr>
                    <w:jc w:val="center"/>
                    <w:rPr>
                      <w:rFonts w:ascii="National 2" w:hAnsi="National 2" w:cs="Calibri"/>
                      <w:sz w:val="18"/>
                      <w:szCs w:val="18"/>
                    </w:rPr>
                  </w:pPr>
                  <w:r w:rsidRPr="00242179">
                    <w:rPr>
                      <w:rFonts w:ascii="National 2" w:hAnsi="National 2" w:cs="Calibri"/>
                      <w:color w:val="000000"/>
                      <w:sz w:val="18"/>
                      <w:szCs w:val="18"/>
                    </w:rPr>
                    <w:t>34.</w:t>
                  </w:r>
                  <w:r>
                    <w:rPr>
                      <w:rFonts w:ascii="National 2" w:hAnsi="National 2" w:cs="Calibri"/>
                      <w:color w:val="000000"/>
                      <w:sz w:val="18"/>
                      <w:szCs w:val="18"/>
                    </w:rPr>
                    <w:t>9</w:t>
                  </w:r>
                  <w:r w:rsidRPr="00242179">
                    <w:rPr>
                      <w:rFonts w:ascii="National 2" w:hAnsi="National 2" w:cs="Calibri"/>
                      <w:color w:val="000000"/>
                      <w:sz w:val="18"/>
                      <w:szCs w:val="18"/>
                    </w:rPr>
                    <w:t>%</w:t>
                  </w:r>
                </w:p>
              </w:tc>
            </w:tr>
            <w:tr w:rsidR="00993F9D" w:rsidRPr="00D17D0B" w14:paraId="7DEF117F" w14:textId="77777777" w:rsidTr="00E5661C">
              <w:trPr>
                <w:trHeight w:val="255"/>
              </w:trPr>
              <w:tc>
                <w:tcPr>
                  <w:tcW w:w="3007" w:type="dxa"/>
                  <w:vAlign w:val="center"/>
                </w:tcPr>
                <w:p w14:paraId="39DA2894" w14:textId="77777777" w:rsidR="00993F9D" w:rsidRPr="00741C3E" w:rsidRDefault="00993F9D" w:rsidP="00993F9D">
                  <w:pPr>
                    <w:rPr>
                      <w:rFonts w:ascii="National 2" w:hAnsi="National 2" w:cs="Calibri"/>
                      <w:sz w:val="18"/>
                      <w:szCs w:val="18"/>
                    </w:rPr>
                  </w:pPr>
                  <w:r w:rsidRPr="00741C3E">
                    <w:rPr>
                      <w:rFonts w:ascii="National 2" w:hAnsi="National 2" w:cs="Calibri"/>
                      <w:color w:val="000000"/>
                      <w:sz w:val="18"/>
                      <w:szCs w:val="18"/>
                    </w:rPr>
                    <w:t>Jobs (2002-2022)</w:t>
                  </w:r>
                </w:p>
              </w:tc>
              <w:tc>
                <w:tcPr>
                  <w:tcW w:w="1843" w:type="dxa"/>
                  <w:vAlign w:val="center"/>
                </w:tcPr>
                <w:p w14:paraId="015395D4" w14:textId="77777777" w:rsidR="00993F9D" w:rsidRPr="00481C0A" w:rsidRDefault="00993F9D" w:rsidP="00993F9D">
                  <w:pPr>
                    <w:jc w:val="center"/>
                    <w:rPr>
                      <w:rFonts w:ascii="National 2" w:hAnsi="National 2" w:cs="Calibri"/>
                      <w:sz w:val="18"/>
                      <w:szCs w:val="18"/>
                    </w:rPr>
                  </w:pPr>
                  <w:r w:rsidRPr="00481C0A">
                    <w:rPr>
                      <w:rFonts w:ascii="National 2" w:hAnsi="National 2" w:cs="Calibri"/>
                      <w:color w:val="000000"/>
                      <w:sz w:val="18"/>
                      <w:szCs w:val="18"/>
                    </w:rPr>
                    <w:t>+300,300</w:t>
                  </w:r>
                </w:p>
              </w:tc>
              <w:tc>
                <w:tcPr>
                  <w:tcW w:w="1843" w:type="dxa"/>
                  <w:vAlign w:val="center"/>
                </w:tcPr>
                <w:p w14:paraId="7EA7943E" w14:textId="77777777" w:rsidR="00993F9D" w:rsidRPr="00E91F7E" w:rsidRDefault="00993F9D" w:rsidP="00993F9D">
                  <w:pPr>
                    <w:jc w:val="center"/>
                    <w:rPr>
                      <w:rFonts w:ascii="National 2" w:hAnsi="National 2" w:cs="Calibri"/>
                      <w:sz w:val="18"/>
                      <w:szCs w:val="18"/>
                    </w:rPr>
                  </w:pPr>
                  <w:r w:rsidRPr="00E91F7E">
                    <w:rPr>
                      <w:rFonts w:ascii="National 2" w:hAnsi="National 2" w:cs="Calibri"/>
                      <w:color w:val="000000"/>
                      <w:sz w:val="18"/>
                      <w:szCs w:val="18"/>
                    </w:rPr>
                    <w:t>41.8%</w:t>
                  </w:r>
                </w:p>
              </w:tc>
            </w:tr>
            <w:tr w:rsidR="00993F9D" w:rsidRPr="00D17D0B" w14:paraId="2319F452" w14:textId="77777777" w:rsidTr="00E5661C">
              <w:trPr>
                <w:trHeight w:val="255"/>
              </w:trPr>
              <w:tc>
                <w:tcPr>
                  <w:tcW w:w="3007" w:type="dxa"/>
                  <w:vAlign w:val="center"/>
                </w:tcPr>
                <w:p w14:paraId="577F2DFF" w14:textId="77777777" w:rsidR="00993F9D" w:rsidRPr="00741C3E" w:rsidRDefault="00993F9D" w:rsidP="00993F9D">
                  <w:pPr>
                    <w:rPr>
                      <w:rFonts w:ascii="National 2" w:hAnsi="National 2" w:cs="Calibri"/>
                      <w:sz w:val="18"/>
                      <w:szCs w:val="18"/>
                    </w:rPr>
                  </w:pPr>
                  <w:r w:rsidRPr="00741C3E">
                    <w:rPr>
                      <w:rFonts w:ascii="National 2" w:hAnsi="National 2" w:cs="Calibri"/>
                      <w:color w:val="000000"/>
                      <w:sz w:val="18"/>
                      <w:szCs w:val="18"/>
                    </w:rPr>
                    <w:t>Business Units (2022)</w:t>
                  </w:r>
                </w:p>
              </w:tc>
              <w:tc>
                <w:tcPr>
                  <w:tcW w:w="1843" w:type="dxa"/>
                  <w:vAlign w:val="center"/>
                </w:tcPr>
                <w:p w14:paraId="45146907" w14:textId="77777777" w:rsidR="00993F9D" w:rsidRPr="00481C0A" w:rsidRDefault="00993F9D" w:rsidP="00993F9D">
                  <w:pPr>
                    <w:jc w:val="center"/>
                    <w:rPr>
                      <w:rFonts w:ascii="National 2" w:hAnsi="National 2" w:cs="Calibri"/>
                      <w:sz w:val="18"/>
                      <w:szCs w:val="18"/>
                    </w:rPr>
                  </w:pPr>
                  <w:r w:rsidRPr="00481C0A">
                    <w:rPr>
                      <w:rFonts w:ascii="National 2" w:hAnsi="National 2" w:cs="Calibri"/>
                      <w:color w:val="000000"/>
                      <w:sz w:val="18"/>
                      <w:szCs w:val="18"/>
                    </w:rPr>
                    <w:t>220,800</w:t>
                  </w:r>
                </w:p>
              </w:tc>
              <w:tc>
                <w:tcPr>
                  <w:tcW w:w="1843" w:type="dxa"/>
                  <w:vAlign w:val="center"/>
                </w:tcPr>
                <w:p w14:paraId="3B0DFFC5" w14:textId="77777777" w:rsidR="00993F9D" w:rsidRPr="00E91F7E" w:rsidRDefault="00993F9D" w:rsidP="00993F9D">
                  <w:pPr>
                    <w:jc w:val="center"/>
                    <w:rPr>
                      <w:rFonts w:ascii="National 2" w:hAnsi="National 2" w:cs="Calibri"/>
                      <w:sz w:val="18"/>
                      <w:szCs w:val="18"/>
                    </w:rPr>
                  </w:pPr>
                  <w:r w:rsidRPr="00E91F7E">
                    <w:rPr>
                      <w:rFonts w:ascii="National 2" w:hAnsi="National 2" w:cs="Calibri"/>
                      <w:color w:val="000000"/>
                      <w:sz w:val="18"/>
                      <w:szCs w:val="18"/>
                    </w:rPr>
                    <w:t>35.0%</w:t>
                  </w:r>
                </w:p>
              </w:tc>
            </w:tr>
            <w:tr w:rsidR="00993F9D" w:rsidRPr="00D17D0B" w14:paraId="2269F43C" w14:textId="77777777" w:rsidTr="00E5661C">
              <w:trPr>
                <w:trHeight w:val="255"/>
              </w:trPr>
              <w:tc>
                <w:tcPr>
                  <w:tcW w:w="3007" w:type="dxa"/>
                  <w:vAlign w:val="center"/>
                </w:tcPr>
                <w:p w14:paraId="35BEB9C4" w14:textId="77777777" w:rsidR="00993F9D" w:rsidRPr="00741C3E" w:rsidRDefault="00993F9D" w:rsidP="00993F9D">
                  <w:pPr>
                    <w:rPr>
                      <w:rFonts w:ascii="National 2" w:hAnsi="National 2" w:cs="Calibri"/>
                      <w:sz w:val="18"/>
                      <w:szCs w:val="18"/>
                    </w:rPr>
                  </w:pPr>
                  <w:r w:rsidRPr="00741C3E">
                    <w:rPr>
                      <w:rFonts w:ascii="National 2" w:hAnsi="National 2" w:cs="Calibri"/>
                      <w:color w:val="000000"/>
                      <w:sz w:val="18"/>
                      <w:szCs w:val="18"/>
                    </w:rPr>
                    <w:t>Business Units (2002-2022)</w:t>
                  </w:r>
                </w:p>
              </w:tc>
              <w:tc>
                <w:tcPr>
                  <w:tcW w:w="1843" w:type="dxa"/>
                  <w:vAlign w:val="center"/>
                </w:tcPr>
                <w:p w14:paraId="70E97515" w14:textId="77777777" w:rsidR="00993F9D" w:rsidRPr="00481C0A" w:rsidRDefault="00993F9D" w:rsidP="00993F9D">
                  <w:pPr>
                    <w:jc w:val="center"/>
                    <w:rPr>
                      <w:rFonts w:ascii="National 2" w:hAnsi="National 2" w:cs="Calibri"/>
                      <w:sz w:val="18"/>
                      <w:szCs w:val="18"/>
                    </w:rPr>
                  </w:pPr>
                  <w:r w:rsidRPr="00481C0A">
                    <w:rPr>
                      <w:rFonts w:ascii="National 2" w:hAnsi="National 2" w:cs="Calibri"/>
                      <w:color w:val="000000"/>
                      <w:sz w:val="18"/>
                      <w:szCs w:val="18"/>
                    </w:rPr>
                    <w:t>+92,841</w:t>
                  </w:r>
                </w:p>
              </w:tc>
              <w:tc>
                <w:tcPr>
                  <w:tcW w:w="1843" w:type="dxa"/>
                  <w:vAlign w:val="center"/>
                </w:tcPr>
                <w:p w14:paraId="473DA183" w14:textId="77777777" w:rsidR="00993F9D" w:rsidRPr="00E91F7E" w:rsidRDefault="00993F9D" w:rsidP="00993F9D">
                  <w:pPr>
                    <w:jc w:val="center"/>
                    <w:rPr>
                      <w:rFonts w:ascii="National 2" w:hAnsi="National 2" w:cs="Calibri"/>
                      <w:sz w:val="18"/>
                      <w:szCs w:val="18"/>
                    </w:rPr>
                  </w:pPr>
                  <w:r w:rsidRPr="00E91F7E">
                    <w:rPr>
                      <w:rFonts w:ascii="National 2" w:hAnsi="National 2" w:cs="Calibri"/>
                      <w:color w:val="000000"/>
                      <w:sz w:val="18"/>
                      <w:szCs w:val="18"/>
                    </w:rPr>
                    <w:t>44.4%</w:t>
                  </w:r>
                </w:p>
              </w:tc>
            </w:tr>
          </w:tbl>
          <w:p w14:paraId="12DD42C0" w14:textId="07D4E09B" w:rsidR="00993F9D" w:rsidRPr="00A46381" w:rsidRDefault="00993F9D" w:rsidP="00993F9D">
            <w:pPr>
              <w:spacing w:before="120" w:after="120"/>
              <w:rPr>
                <w:rFonts w:ascii="National 2" w:hAnsi="National 2"/>
                <w:b/>
                <w:bCs/>
                <w:color w:val="1B324F"/>
                <w:sz w:val="24"/>
                <w:szCs w:val="24"/>
              </w:rPr>
            </w:pPr>
          </w:p>
        </w:tc>
        <w:tc>
          <w:tcPr>
            <w:tcW w:w="8646" w:type="dxa"/>
          </w:tcPr>
          <w:p w14:paraId="71FB5819" w14:textId="2CD4A28D" w:rsidR="00993F9D" w:rsidRPr="00306DE5" w:rsidRDefault="00993F9D" w:rsidP="00993F9D">
            <w:pPr>
              <w:spacing w:after="120"/>
              <w:rPr>
                <w:rFonts w:ascii="National 2" w:hAnsi="National 2"/>
                <w:b/>
                <w:bCs/>
                <w:color w:val="1B384F"/>
                <w:sz w:val="24"/>
                <w:szCs w:val="24"/>
              </w:rPr>
            </w:pPr>
            <w:r w:rsidRPr="00306DE5">
              <w:rPr>
                <w:rFonts w:ascii="National 2" w:hAnsi="National 2"/>
                <w:b/>
                <w:bCs/>
                <w:color w:val="1B384F"/>
                <w:sz w:val="24"/>
                <w:szCs w:val="24"/>
              </w:rPr>
              <w:t>Sectors Over Time (jobs)</w:t>
            </w:r>
          </w:p>
          <w:p w14:paraId="2E57AC9A" w14:textId="14D7DEF7" w:rsidR="00993F9D" w:rsidRDefault="00993F9D" w:rsidP="00993F9D">
            <w:pPr>
              <w:spacing w:after="120"/>
              <w:rPr>
                <w:noProof/>
              </w:rPr>
            </w:pPr>
            <w:r>
              <w:rPr>
                <w:noProof/>
              </w:rPr>
              <w:drawing>
                <wp:inline distT="0" distB="0" distL="0" distR="0" wp14:anchorId="3891733C" wp14:editId="312615F1">
                  <wp:extent cx="5431790" cy="1530350"/>
                  <wp:effectExtent l="0" t="0" r="0" b="0"/>
                  <wp:docPr id="18" name="Chart 18">
                    <a:extLst xmlns:a="http://schemas.openxmlformats.org/drawingml/2006/main">
                      <a:ext uri="{FF2B5EF4-FFF2-40B4-BE49-F238E27FC236}">
                        <a16:creationId xmlns:a16="http://schemas.microsoft.com/office/drawing/2014/main" id="{F29D3C1C-73D3-4A50-BE6B-51F158B0CB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27CE67" w14:textId="21591074" w:rsidR="00993F9D" w:rsidRPr="00F56F3B" w:rsidRDefault="00993F9D" w:rsidP="00993F9D">
            <w:pPr>
              <w:spacing w:after="120"/>
              <w:rPr>
                <w:rFonts w:ascii="National 2" w:hAnsi="National 2"/>
                <w:b/>
                <w:bCs/>
                <w:color w:val="1B324F"/>
                <w:sz w:val="24"/>
                <w:szCs w:val="24"/>
              </w:rPr>
            </w:pPr>
            <w:r>
              <w:rPr>
                <w:noProof/>
              </w:rPr>
              <w:drawing>
                <wp:inline distT="0" distB="0" distL="0" distR="0" wp14:anchorId="0BC92522" wp14:editId="74C5985C">
                  <wp:extent cx="5499735" cy="1481559"/>
                  <wp:effectExtent l="0" t="0" r="5715" b="4445"/>
                  <wp:docPr id="19" name="Chart 19">
                    <a:extLst xmlns:a="http://schemas.openxmlformats.org/drawingml/2006/main">
                      <a:ext uri="{FF2B5EF4-FFF2-40B4-BE49-F238E27FC236}">
                        <a16:creationId xmlns:a16="http://schemas.microsoft.com/office/drawing/2014/main" id="{08E079FB-BD7E-4EBA-83A2-41F62E535F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6237" w:type="dxa"/>
          </w:tcPr>
          <w:tbl>
            <w:tblPr>
              <w:tblStyle w:val="TableGrid"/>
              <w:tblW w:w="6095" w:type="dxa"/>
              <w:tblLayout w:type="fixed"/>
              <w:tblLook w:val="04A0" w:firstRow="1" w:lastRow="0" w:firstColumn="1" w:lastColumn="0" w:noHBand="0" w:noVBand="1"/>
            </w:tblPr>
            <w:tblGrid>
              <w:gridCol w:w="2749"/>
              <w:gridCol w:w="819"/>
              <w:gridCol w:w="1020"/>
              <w:gridCol w:w="966"/>
              <w:gridCol w:w="541"/>
            </w:tblGrid>
            <w:tr w:rsidR="00993F9D" w:rsidRPr="00B20810" w14:paraId="26E140C5" w14:textId="77777777" w:rsidTr="00642A50">
              <w:tc>
                <w:tcPr>
                  <w:tcW w:w="2749" w:type="dxa"/>
                  <w:vAlign w:val="center"/>
                </w:tcPr>
                <w:p w14:paraId="436B95F0" w14:textId="77777777" w:rsidR="00993F9D" w:rsidRPr="00306DE5" w:rsidRDefault="00993F9D" w:rsidP="00993F9D">
                  <w:pPr>
                    <w:rPr>
                      <w:rFonts w:ascii="National 2" w:hAnsi="National 2"/>
                      <w:b/>
                      <w:bCs/>
                      <w:color w:val="1B384F"/>
                      <w:sz w:val="18"/>
                      <w:szCs w:val="18"/>
                    </w:rPr>
                  </w:pPr>
                  <w:r w:rsidRPr="00306DE5">
                    <w:rPr>
                      <w:rFonts w:ascii="National 2" w:hAnsi="National 2" w:cs="Calibri"/>
                      <w:b/>
                      <w:bCs/>
                      <w:color w:val="1B384F"/>
                      <w:sz w:val="18"/>
                      <w:szCs w:val="18"/>
                    </w:rPr>
                    <w:t>Broad Sector</w:t>
                  </w:r>
                </w:p>
              </w:tc>
              <w:tc>
                <w:tcPr>
                  <w:tcW w:w="819" w:type="dxa"/>
                  <w:vAlign w:val="center"/>
                </w:tcPr>
                <w:p w14:paraId="1163E2AB" w14:textId="77777777" w:rsidR="00993F9D" w:rsidRPr="00306DE5" w:rsidRDefault="00993F9D" w:rsidP="0000084E">
                  <w:pPr>
                    <w:jc w:val="center"/>
                    <w:rPr>
                      <w:rFonts w:ascii="National 2" w:hAnsi="National 2"/>
                      <w:b/>
                      <w:bCs/>
                      <w:color w:val="1B384F"/>
                      <w:sz w:val="18"/>
                      <w:szCs w:val="18"/>
                    </w:rPr>
                  </w:pPr>
                  <w:r w:rsidRPr="00306DE5">
                    <w:rPr>
                      <w:rFonts w:ascii="National 2" w:hAnsi="National 2" w:cs="Calibri"/>
                      <w:b/>
                      <w:bCs/>
                      <w:color w:val="1B384F"/>
                      <w:sz w:val="18"/>
                      <w:szCs w:val="18"/>
                    </w:rPr>
                    <w:t>Jobs</w:t>
                  </w:r>
                </w:p>
              </w:tc>
              <w:tc>
                <w:tcPr>
                  <w:tcW w:w="1020" w:type="dxa"/>
                  <w:vAlign w:val="center"/>
                </w:tcPr>
                <w:p w14:paraId="3FFB82BA" w14:textId="77777777" w:rsidR="00993F9D" w:rsidRPr="00306DE5" w:rsidRDefault="00993F9D" w:rsidP="00993F9D">
                  <w:pPr>
                    <w:jc w:val="center"/>
                    <w:rPr>
                      <w:rFonts w:ascii="National 2" w:hAnsi="National 2"/>
                      <w:b/>
                      <w:bCs/>
                      <w:color w:val="1B384F"/>
                      <w:sz w:val="18"/>
                      <w:szCs w:val="18"/>
                    </w:rPr>
                  </w:pPr>
                  <w:r w:rsidRPr="00306DE5">
                    <w:rPr>
                      <w:rFonts w:ascii="National 2" w:hAnsi="National 2" w:cs="Calibri"/>
                      <w:b/>
                      <w:bCs/>
                      <w:color w:val="1B384F"/>
                      <w:sz w:val="18"/>
                      <w:szCs w:val="18"/>
                    </w:rPr>
                    <w:t>% of AKL</w:t>
                  </w:r>
                </w:p>
              </w:tc>
              <w:tc>
                <w:tcPr>
                  <w:tcW w:w="966" w:type="dxa"/>
                  <w:vAlign w:val="center"/>
                </w:tcPr>
                <w:p w14:paraId="2ED2F3C9" w14:textId="77777777" w:rsidR="00993F9D" w:rsidRPr="00306DE5" w:rsidRDefault="00993F9D" w:rsidP="00993F9D">
                  <w:pPr>
                    <w:jc w:val="center"/>
                    <w:rPr>
                      <w:rFonts w:ascii="National 2" w:hAnsi="National 2"/>
                      <w:b/>
                      <w:bCs/>
                      <w:color w:val="1B384F"/>
                      <w:sz w:val="18"/>
                      <w:szCs w:val="18"/>
                    </w:rPr>
                  </w:pPr>
                  <w:r w:rsidRPr="00306DE5">
                    <w:rPr>
                      <w:rFonts w:ascii="National 2" w:hAnsi="National 2" w:cs="Calibri"/>
                      <w:b/>
                      <w:bCs/>
                      <w:color w:val="1B384F"/>
                      <w:sz w:val="18"/>
                      <w:szCs w:val="18"/>
                    </w:rPr>
                    <w:t>% of NZ</w:t>
                  </w:r>
                </w:p>
              </w:tc>
              <w:tc>
                <w:tcPr>
                  <w:tcW w:w="541" w:type="dxa"/>
                  <w:vAlign w:val="center"/>
                </w:tcPr>
                <w:p w14:paraId="6DDF342B" w14:textId="77777777" w:rsidR="00993F9D" w:rsidRPr="00306DE5" w:rsidRDefault="00993F9D" w:rsidP="00993F9D">
                  <w:pPr>
                    <w:jc w:val="center"/>
                    <w:rPr>
                      <w:rFonts w:ascii="National 2" w:hAnsi="National 2"/>
                      <w:b/>
                      <w:bCs/>
                      <w:color w:val="1B384F"/>
                      <w:sz w:val="18"/>
                      <w:szCs w:val="18"/>
                    </w:rPr>
                  </w:pPr>
                  <w:r w:rsidRPr="00306DE5">
                    <w:rPr>
                      <w:rFonts w:ascii="National 2" w:hAnsi="National 2" w:cs="Calibri"/>
                      <w:b/>
                      <w:bCs/>
                      <w:color w:val="1B384F"/>
                      <w:sz w:val="18"/>
                      <w:szCs w:val="18"/>
                    </w:rPr>
                    <w:t>LQ</w:t>
                  </w:r>
                </w:p>
              </w:tc>
            </w:tr>
            <w:tr w:rsidR="00993F9D" w:rsidRPr="00D17D0B" w14:paraId="3F348B44" w14:textId="77777777" w:rsidTr="00642A50">
              <w:tc>
                <w:tcPr>
                  <w:tcW w:w="2749" w:type="dxa"/>
                  <w:shd w:val="clear" w:color="auto" w:fill="FFFFFF" w:themeFill="background1"/>
                  <w:vAlign w:val="bottom"/>
                </w:tcPr>
                <w:p w14:paraId="2A7E95D1" w14:textId="77777777" w:rsidR="00993F9D" w:rsidRPr="009C58D6" w:rsidRDefault="00993F9D" w:rsidP="00993F9D">
                  <w:pPr>
                    <w:rPr>
                      <w:rFonts w:ascii="National 2" w:hAnsi="National 2" w:cs="Calibri"/>
                      <w:sz w:val="18"/>
                      <w:szCs w:val="18"/>
                      <w:highlight w:val="yellow"/>
                    </w:rPr>
                  </w:pPr>
                  <w:r w:rsidRPr="009C58D6">
                    <w:rPr>
                      <w:rFonts w:ascii="National 2" w:hAnsi="National 2" w:cs="Calibri"/>
                      <w:color w:val="000000"/>
                      <w:sz w:val="18"/>
                      <w:szCs w:val="18"/>
                    </w:rPr>
                    <w:t>Prof, Scientific &amp; Tech Services</w:t>
                  </w:r>
                </w:p>
              </w:tc>
              <w:tc>
                <w:tcPr>
                  <w:tcW w:w="819" w:type="dxa"/>
                  <w:shd w:val="clear" w:color="auto" w:fill="FFFFFF" w:themeFill="background1"/>
                  <w:vAlign w:val="bottom"/>
                </w:tcPr>
                <w:p w14:paraId="55463B01" w14:textId="77777777" w:rsidR="00993F9D" w:rsidRPr="009C58D6" w:rsidRDefault="00993F9D" w:rsidP="00993F9D">
                  <w:pPr>
                    <w:jc w:val="center"/>
                    <w:rPr>
                      <w:rFonts w:ascii="National 2" w:hAnsi="National 2" w:cs="Calibri"/>
                      <w:sz w:val="18"/>
                      <w:szCs w:val="18"/>
                      <w:highlight w:val="yellow"/>
                    </w:rPr>
                  </w:pPr>
                  <w:r w:rsidRPr="009C58D6">
                    <w:rPr>
                      <w:rFonts w:ascii="National 2" w:hAnsi="National 2" w:cs="Calibri"/>
                      <w:color w:val="000000"/>
                      <w:sz w:val="18"/>
                      <w:szCs w:val="18"/>
                    </w:rPr>
                    <w:t>92</w:t>
                  </w:r>
                  <w:r>
                    <w:rPr>
                      <w:rFonts w:ascii="National 2" w:hAnsi="National 2" w:cs="Calibri"/>
                      <w:color w:val="000000"/>
                      <w:sz w:val="18"/>
                      <w:szCs w:val="18"/>
                    </w:rPr>
                    <w:t>,</w:t>
                  </w:r>
                  <w:r w:rsidRPr="009C58D6">
                    <w:rPr>
                      <w:rFonts w:ascii="National 2" w:hAnsi="National 2" w:cs="Calibri"/>
                      <w:color w:val="000000"/>
                      <w:sz w:val="18"/>
                      <w:szCs w:val="18"/>
                    </w:rPr>
                    <w:t>100</w:t>
                  </w:r>
                </w:p>
              </w:tc>
              <w:tc>
                <w:tcPr>
                  <w:tcW w:w="1020" w:type="dxa"/>
                  <w:shd w:val="clear" w:color="auto" w:fill="FFFFFF" w:themeFill="background1"/>
                  <w:vAlign w:val="bottom"/>
                </w:tcPr>
                <w:p w14:paraId="02528B87" w14:textId="77777777" w:rsidR="00993F9D" w:rsidRPr="009C58D6" w:rsidRDefault="00993F9D" w:rsidP="00993F9D">
                  <w:pPr>
                    <w:jc w:val="center"/>
                    <w:rPr>
                      <w:rFonts w:ascii="National 2" w:hAnsi="National 2" w:cs="Calibri"/>
                      <w:sz w:val="18"/>
                      <w:szCs w:val="18"/>
                      <w:highlight w:val="yellow"/>
                    </w:rPr>
                  </w:pPr>
                  <w:r w:rsidRPr="009C58D6">
                    <w:rPr>
                      <w:rFonts w:ascii="National 2" w:hAnsi="National 2" w:cs="Calibri"/>
                      <w:color w:val="000000"/>
                      <w:sz w:val="18"/>
                      <w:szCs w:val="18"/>
                    </w:rPr>
                    <w:t>11.0%</w:t>
                  </w:r>
                </w:p>
              </w:tc>
              <w:tc>
                <w:tcPr>
                  <w:tcW w:w="966" w:type="dxa"/>
                  <w:shd w:val="clear" w:color="auto" w:fill="FFFFFF" w:themeFill="background1"/>
                  <w:vAlign w:val="bottom"/>
                </w:tcPr>
                <w:p w14:paraId="33BF7EAE" w14:textId="77777777" w:rsidR="00993F9D" w:rsidRPr="009C58D6" w:rsidRDefault="00993F9D" w:rsidP="00993F9D">
                  <w:pPr>
                    <w:jc w:val="center"/>
                    <w:rPr>
                      <w:rFonts w:ascii="National 2" w:hAnsi="National 2" w:cs="Calibri"/>
                      <w:sz w:val="18"/>
                      <w:szCs w:val="18"/>
                      <w:highlight w:val="yellow"/>
                    </w:rPr>
                  </w:pPr>
                  <w:r w:rsidRPr="009C58D6">
                    <w:rPr>
                      <w:rFonts w:ascii="National 2" w:hAnsi="National 2" w:cs="Calibri"/>
                      <w:color w:val="000000"/>
                      <w:sz w:val="18"/>
                      <w:szCs w:val="18"/>
                    </w:rPr>
                    <w:t>6.6%</w:t>
                  </w:r>
                </w:p>
              </w:tc>
              <w:tc>
                <w:tcPr>
                  <w:tcW w:w="541" w:type="dxa"/>
                  <w:shd w:val="clear" w:color="auto" w:fill="auto"/>
                  <w:vAlign w:val="bottom"/>
                </w:tcPr>
                <w:p w14:paraId="546B9B60" w14:textId="77777777" w:rsidR="00993F9D" w:rsidRPr="00B17987" w:rsidRDefault="00993F9D" w:rsidP="00993F9D">
                  <w:pPr>
                    <w:jc w:val="center"/>
                    <w:rPr>
                      <w:rFonts w:ascii="National 2" w:hAnsi="National 2" w:cs="Calibri"/>
                      <w:sz w:val="18"/>
                      <w:szCs w:val="18"/>
                      <w:highlight w:val="yellow"/>
                    </w:rPr>
                  </w:pPr>
                  <w:r w:rsidRPr="00B17987">
                    <w:rPr>
                      <w:rFonts w:ascii="National 2" w:hAnsi="National 2" w:cs="Calibri"/>
                      <w:color w:val="000000"/>
                      <w:sz w:val="18"/>
                      <w:szCs w:val="18"/>
                    </w:rPr>
                    <w:t>1.3</w:t>
                  </w:r>
                </w:p>
              </w:tc>
            </w:tr>
            <w:tr w:rsidR="00993F9D" w:rsidRPr="00D17D0B" w14:paraId="6D9CAFF8" w14:textId="77777777" w:rsidTr="00642A50">
              <w:tc>
                <w:tcPr>
                  <w:tcW w:w="2749" w:type="dxa"/>
                  <w:shd w:val="clear" w:color="auto" w:fill="FFFFFF" w:themeFill="background1"/>
                  <w:vAlign w:val="bottom"/>
                </w:tcPr>
                <w:p w14:paraId="5DCF7DED" w14:textId="77777777" w:rsidR="00993F9D" w:rsidRPr="009C58D6" w:rsidRDefault="00993F9D" w:rsidP="00993F9D">
                  <w:pPr>
                    <w:rPr>
                      <w:rFonts w:ascii="National 2" w:hAnsi="National 2" w:cs="Calibri"/>
                      <w:sz w:val="18"/>
                      <w:szCs w:val="18"/>
                      <w:highlight w:val="yellow"/>
                    </w:rPr>
                  </w:pPr>
                  <w:r w:rsidRPr="009C58D6">
                    <w:rPr>
                      <w:rFonts w:ascii="National 2" w:hAnsi="National 2" w:cs="Calibri"/>
                      <w:color w:val="000000"/>
                      <w:sz w:val="18"/>
                      <w:szCs w:val="18"/>
                    </w:rPr>
                    <w:t>Healthcare &amp; Social Assistance</w:t>
                  </w:r>
                </w:p>
              </w:tc>
              <w:tc>
                <w:tcPr>
                  <w:tcW w:w="819" w:type="dxa"/>
                  <w:shd w:val="clear" w:color="auto" w:fill="FFFFFF" w:themeFill="background1"/>
                  <w:vAlign w:val="bottom"/>
                </w:tcPr>
                <w:p w14:paraId="7C1EDF36" w14:textId="77777777" w:rsidR="00993F9D" w:rsidRPr="009C58D6" w:rsidRDefault="00993F9D" w:rsidP="00993F9D">
                  <w:pPr>
                    <w:jc w:val="center"/>
                    <w:rPr>
                      <w:rFonts w:ascii="National 2" w:hAnsi="National 2" w:cs="Calibri"/>
                      <w:sz w:val="18"/>
                      <w:szCs w:val="18"/>
                      <w:highlight w:val="yellow"/>
                    </w:rPr>
                  </w:pPr>
                  <w:r w:rsidRPr="009C58D6">
                    <w:rPr>
                      <w:rFonts w:ascii="National 2" w:hAnsi="National 2" w:cs="Calibri"/>
                      <w:color w:val="000000"/>
                      <w:sz w:val="18"/>
                      <w:szCs w:val="18"/>
                    </w:rPr>
                    <w:t>86</w:t>
                  </w:r>
                  <w:r>
                    <w:rPr>
                      <w:rFonts w:ascii="National 2" w:hAnsi="National 2" w:cs="Calibri"/>
                      <w:color w:val="000000"/>
                      <w:sz w:val="18"/>
                      <w:szCs w:val="18"/>
                    </w:rPr>
                    <w:t>,</w:t>
                  </w:r>
                  <w:r w:rsidRPr="009C58D6">
                    <w:rPr>
                      <w:rFonts w:ascii="National 2" w:hAnsi="National 2" w:cs="Calibri"/>
                      <w:color w:val="000000"/>
                      <w:sz w:val="18"/>
                      <w:szCs w:val="18"/>
                    </w:rPr>
                    <w:t>100</w:t>
                  </w:r>
                </w:p>
              </w:tc>
              <w:tc>
                <w:tcPr>
                  <w:tcW w:w="1020" w:type="dxa"/>
                  <w:shd w:val="clear" w:color="auto" w:fill="FFFFFF" w:themeFill="background1"/>
                  <w:vAlign w:val="bottom"/>
                </w:tcPr>
                <w:p w14:paraId="47660CF5" w14:textId="77777777" w:rsidR="00993F9D" w:rsidRPr="009C58D6" w:rsidRDefault="00993F9D" w:rsidP="00993F9D">
                  <w:pPr>
                    <w:jc w:val="center"/>
                    <w:rPr>
                      <w:rFonts w:ascii="National 2" w:hAnsi="National 2" w:cs="Calibri"/>
                      <w:sz w:val="18"/>
                      <w:szCs w:val="18"/>
                      <w:highlight w:val="yellow"/>
                    </w:rPr>
                  </w:pPr>
                  <w:r w:rsidRPr="009C58D6">
                    <w:rPr>
                      <w:rFonts w:ascii="National 2" w:hAnsi="National 2" w:cs="Calibri"/>
                      <w:color w:val="000000"/>
                      <w:sz w:val="18"/>
                      <w:szCs w:val="18"/>
                    </w:rPr>
                    <w:t>10.3%</w:t>
                  </w:r>
                </w:p>
              </w:tc>
              <w:tc>
                <w:tcPr>
                  <w:tcW w:w="966" w:type="dxa"/>
                  <w:shd w:val="clear" w:color="auto" w:fill="FFFFFF" w:themeFill="background1"/>
                  <w:vAlign w:val="bottom"/>
                </w:tcPr>
                <w:p w14:paraId="310BF40A" w14:textId="77777777" w:rsidR="00993F9D" w:rsidRPr="009C58D6" w:rsidRDefault="00993F9D" w:rsidP="00993F9D">
                  <w:pPr>
                    <w:jc w:val="center"/>
                    <w:rPr>
                      <w:rFonts w:ascii="National 2" w:hAnsi="National 2" w:cs="Calibri"/>
                      <w:sz w:val="18"/>
                      <w:szCs w:val="18"/>
                      <w:highlight w:val="yellow"/>
                    </w:rPr>
                  </w:pPr>
                  <w:r w:rsidRPr="009C58D6">
                    <w:rPr>
                      <w:rFonts w:ascii="National 2" w:hAnsi="National 2" w:cs="Calibri"/>
                      <w:color w:val="000000"/>
                      <w:sz w:val="18"/>
                      <w:szCs w:val="18"/>
                    </w:rPr>
                    <w:t>9.7%</w:t>
                  </w:r>
                </w:p>
              </w:tc>
              <w:tc>
                <w:tcPr>
                  <w:tcW w:w="541" w:type="dxa"/>
                  <w:shd w:val="clear" w:color="auto" w:fill="auto"/>
                  <w:vAlign w:val="bottom"/>
                </w:tcPr>
                <w:p w14:paraId="329DDFBA" w14:textId="77777777" w:rsidR="00993F9D" w:rsidRPr="00B17987" w:rsidRDefault="00993F9D" w:rsidP="00993F9D">
                  <w:pPr>
                    <w:jc w:val="center"/>
                    <w:rPr>
                      <w:rFonts w:ascii="National 2" w:hAnsi="National 2" w:cs="Calibri"/>
                      <w:sz w:val="18"/>
                      <w:szCs w:val="18"/>
                      <w:highlight w:val="yellow"/>
                    </w:rPr>
                  </w:pPr>
                  <w:r w:rsidRPr="00B17987">
                    <w:rPr>
                      <w:rFonts w:ascii="National 2" w:hAnsi="National 2" w:cs="Calibri"/>
                      <w:color w:val="000000"/>
                      <w:sz w:val="18"/>
                      <w:szCs w:val="18"/>
                    </w:rPr>
                    <w:t>0.9</w:t>
                  </w:r>
                </w:p>
              </w:tc>
            </w:tr>
            <w:tr w:rsidR="00993F9D" w:rsidRPr="00D17D0B" w14:paraId="784F3065" w14:textId="77777777" w:rsidTr="00642A50">
              <w:tc>
                <w:tcPr>
                  <w:tcW w:w="2749" w:type="dxa"/>
                  <w:shd w:val="clear" w:color="auto" w:fill="FFFFFF" w:themeFill="background1"/>
                  <w:vAlign w:val="bottom"/>
                </w:tcPr>
                <w:p w14:paraId="2F17AF49" w14:textId="77777777" w:rsidR="00993F9D" w:rsidRPr="009C58D6" w:rsidRDefault="00993F9D" w:rsidP="00993F9D">
                  <w:pPr>
                    <w:rPr>
                      <w:rFonts w:ascii="National 2" w:hAnsi="National 2" w:cs="Calibri"/>
                      <w:sz w:val="18"/>
                      <w:szCs w:val="18"/>
                      <w:highlight w:val="yellow"/>
                    </w:rPr>
                  </w:pPr>
                  <w:r w:rsidRPr="009C58D6">
                    <w:rPr>
                      <w:rFonts w:ascii="National 2" w:hAnsi="National 2" w:cs="Calibri"/>
                      <w:color w:val="000000"/>
                      <w:sz w:val="18"/>
                      <w:szCs w:val="18"/>
                    </w:rPr>
                    <w:t>Retail Trade</w:t>
                  </w:r>
                </w:p>
              </w:tc>
              <w:tc>
                <w:tcPr>
                  <w:tcW w:w="819" w:type="dxa"/>
                  <w:shd w:val="clear" w:color="auto" w:fill="FFFFFF" w:themeFill="background1"/>
                  <w:vAlign w:val="bottom"/>
                </w:tcPr>
                <w:p w14:paraId="3AAC5677" w14:textId="77777777" w:rsidR="00993F9D" w:rsidRPr="009C58D6" w:rsidRDefault="00993F9D" w:rsidP="00993F9D">
                  <w:pPr>
                    <w:jc w:val="center"/>
                    <w:rPr>
                      <w:rFonts w:ascii="National 2" w:hAnsi="National 2" w:cs="Calibri"/>
                      <w:sz w:val="18"/>
                      <w:szCs w:val="18"/>
                      <w:highlight w:val="yellow"/>
                    </w:rPr>
                  </w:pPr>
                  <w:r w:rsidRPr="009C58D6">
                    <w:rPr>
                      <w:rFonts w:ascii="National 2" w:hAnsi="National 2" w:cs="Calibri"/>
                      <w:color w:val="000000"/>
                      <w:sz w:val="18"/>
                      <w:szCs w:val="18"/>
                    </w:rPr>
                    <w:t>81</w:t>
                  </w:r>
                  <w:r>
                    <w:rPr>
                      <w:rFonts w:ascii="National 2" w:hAnsi="National 2" w:cs="Calibri"/>
                      <w:color w:val="000000"/>
                      <w:sz w:val="18"/>
                      <w:szCs w:val="18"/>
                    </w:rPr>
                    <w:t>,</w:t>
                  </w:r>
                  <w:r w:rsidRPr="009C58D6">
                    <w:rPr>
                      <w:rFonts w:ascii="National 2" w:hAnsi="National 2" w:cs="Calibri"/>
                      <w:color w:val="000000"/>
                      <w:sz w:val="18"/>
                      <w:szCs w:val="18"/>
                    </w:rPr>
                    <w:t>400</w:t>
                  </w:r>
                </w:p>
              </w:tc>
              <w:tc>
                <w:tcPr>
                  <w:tcW w:w="1020" w:type="dxa"/>
                  <w:shd w:val="clear" w:color="auto" w:fill="FFFFFF" w:themeFill="background1"/>
                  <w:vAlign w:val="bottom"/>
                </w:tcPr>
                <w:p w14:paraId="007DEFFF" w14:textId="77777777" w:rsidR="00993F9D" w:rsidRPr="009C58D6" w:rsidRDefault="00993F9D" w:rsidP="00993F9D">
                  <w:pPr>
                    <w:jc w:val="center"/>
                    <w:rPr>
                      <w:rFonts w:ascii="National 2" w:hAnsi="National 2" w:cs="Calibri"/>
                      <w:sz w:val="18"/>
                      <w:szCs w:val="18"/>
                      <w:highlight w:val="yellow"/>
                    </w:rPr>
                  </w:pPr>
                  <w:r w:rsidRPr="009C58D6">
                    <w:rPr>
                      <w:rFonts w:ascii="National 2" w:hAnsi="National 2" w:cs="Calibri"/>
                      <w:color w:val="000000"/>
                      <w:sz w:val="18"/>
                      <w:szCs w:val="18"/>
                    </w:rPr>
                    <w:t>9.7%</w:t>
                  </w:r>
                </w:p>
              </w:tc>
              <w:tc>
                <w:tcPr>
                  <w:tcW w:w="966" w:type="dxa"/>
                  <w:shd w:val="clear" w:color="auto" w:fill="FFFFFF" w:themeFill="background1"/>
                  <w:vAlign w:val="bottom"/>
                </w:tcPr>
                <w:p w14:paraId="7A6CB82A" w14:textId="77777777" w:rsidR="00993F9D" w:rsidRPr="009C58D6" w:rsidRDefault="00993F9D" w:rsidP="00993F9D">
                  <w:pPr>
                    <w:jc w:val="center"/>
                    <w:rPr>
                      <w:rFonts w:ascii="National 2" w:hAnsi="National 2" w:cs="Calibri"/>
                      <w:sz w:val="18"/>
                      <w:szCs w:val="18"/>
                      <w:highlight w:val="yellow"/>
                    </w:rPr>
                  </w:pPr>
                  <w:r w:rsidRPr="009C58D6">
                    <w:rPr>
                      <w:rFonts w:ascii="National 2" w:hAnsi="National 2" w:cs="Calibri"/>
                      <w:color w:val="000000"/>
                      <w:sz w:val="18"/>
                      <w:szCs w:val="18"/>
                    </w:rPr>
                    <w:t>10.5%</w:t>
                  </w:r>
                </w:p>
              </w:tc>
              <w:tc>
                <w:tcPr>
                  <w:tcW w:w="541" w:type="dxa"/>
                  <w:shd w:val="clear" w:color="auto" w:fill="auto"/>
                  <w:vAlign w:val="bottom"/>
                </w:tcPr>
                <w:p w14:paraId="37E21BBF" w14:textId="77777777" w:rsidR="00993F9D" w:rsidRPr="00B17987" w:rsidRDefault="00993F9D" w:rsidP="00993F9D">
                  <w:pPr>
                    <w:jc w:val="center"/>
                    <w:rPr>
                      <w:rFonts w:ascii="National 2" w:hAnsi="National 2" w:cs="Calibri"/>
                      <w:sz w:val="18"/>
                      <w:szCs w:val="18"/>
                      <w:highlight w:val="yellow"/>
                    </w:rPr>
                  </w:pPr>
                  <w:r w:rsidRPr="00B17987">
                    <w:rPr>
                      <w:rFonts w:ascii="National 2" w:hAnsi="National 2" w:cs="Calibri"/>
                      <w:color w:val="000000"/>
                      <w:sz w:val="18"/>
                      <w:szCs w:val="18"/>
                    </w:rPr>
                    <w:t>1.0</w:t>
                  </w:r>
                </w:p>
              </w:tc>
            </w:tr>
            <w:tr w:rsidR="00993F9D" w:rsidRPr="00D17D0B" w14:paraId="309B84CB" w14:textId="77777777" w:rsidTr="00642A50">
              <w:tc>
                <w:tcPr>
                  <w:tcW w:w="2749" w:type="dxa"/>
                  <w:shd w:val="clear" w:color="auto" w:fill="FFFFFF" w:themeFill="background1"/>
                  <w:vAlign w:val="bottom"/>
                </w:tcPr>
                <w:p w14:paraId="110093DF" w14:textId="77777777" w:rsidR="00993F9D" w:rsidRPr="009C58D6" w:rsidRDefault="00993F9D" w:rsidP="00993F9D">
                  <w:pPr>
                    <w:rPr>
                      <w:rFonts w:ascii="National 2" w:hAnsi="National 2" w:cs="Calibri"/>
                      <w:sz w:val="18"/>
                      <w:szCs w:val="18"/>
                      <w:highlight w:val="yellow"/>
                    </w:rPr>
                  </w:pPr>
                  <w:r w:rsidRPr="009C58D6">
                    <w:rPr>
                      <w:rFonts w:ascii="National 2" w:hAnsi="National 2" w:cs="Calibri"/>
                      <w:color w:val="000000"/>
                      <w:sz w:val="18"/>
                      <w:szCs w:val="18"/>
                    </w:rPr>
                    <w:t>Manufacturing</w:t>
                  </w:r>
                </w:p>
              </w:tc>
              <w:tc>
                <w:tcPr>
                  <w:tcW w:w="819" w:type="dxa"/>
                  <w:shd w:val="clear" w:color="auto" w:fill="FFFFFF" w:themeFill="background1"/>
                  <w:vAlign w:val="bottom"/>
                </w:tcPr>
                <w:p w14:paraId="5E358B2E" w14:textId="77777777" w:rsidR="00993F9D" w:rsidRPr="009C58D6" w:rsidRDefault="00993F9D" w:rsidP="00993F9D">
                  <w:pPr>
                    <w:jc w:val="center"/>
                    <w:rPr>
                      <w:rFonts w:ascii="National 2" w:hAnsi="National 2" w:cs="Calibri"/>
                      <w:sz w:val="18"/>
                      <w:szCs w:val="18"/>
                      <w:highlight w:val="yellow"/>
                    </w:rPr>
                  </w:pPr>
                  <w:r w:rsidRPr="009C58D6">
                    <w:rPr>
                      <w:rFonts w:ascii="National 2" w:hAnsi="National 2" w:cs="Calibri"/>
                      <w:color w:val="000000"/>
                      <w:sz w:val="18"/>
                      <w:szCs w:val="18"/>
                    </w:rPr>
                    <w:t>79</w:t>
                  </w:r>
                  <w:r>
                    <w:rPr>
                      <w:rFonts w:ascii="National 2" w:hAnsi="National 2" w:cs="Calibri"/>
                      <w:color w:val="000000"/>
                      <w:sz w:val="18"/>
                      <w:szCs w:val="18"/>
                    </w:rPr>
                    <w:t>,</w:t>
                  </w:r>
                  <w:r w:rsidRPr="009C58D6">
                    <w:rPr>
                      <w:rFonts w:ascii="National 2" w:hAnsi="National 2" w:cs="Calibri"/>
                      <w:color w:val="000000"/>
                      <w:sz w:val="18"/>
                      <w:szCs w:val="18"/>
                    </w:rPr>
                    <w:t>900</w:t>
                  </w:r>
                </w:p>
              </w:tc>
              <w:tc>
                <w:tcPr>
                  <w:tcW w:w="1020" w:type="dxa"/>
                  <w:shd w:val="clear" w:color="auto" w:fill="FFFFFF" w:themeFill="background1"/>
                  <w:vAlign w:val="bottom"/>
                </w:tcPr>
                <w:p w14:paraId="47295441" w14:textId="77777777" w:rsidR="00993F9D" w:rsidRPr="009C58D6" w:rsidRDefault="00993F9D" w:rsidP="00993F9D">
                  <w:pPr>
                    <w:jc w:val="center"/>
                    <w:rPr>
                      <w:rFonts w:ascii="National 2" w:hAnsi="National 2" w:cs="Calibri"/>
                      <w:sz w:val="18"/>
                      <w:szCs w:val="18"/>
                      <w:highlight w:val="yellow"/>
                    </w:rPr>
                  </w:pPr>
                  <w:r w:rsidRPr="009C58D6">
                    <w:rPr>
                      <w:rFonts w:ascii="National 2" w:hAnsi="National 2" w:cs="Calibri"/>
                      <w:color w:val="000000"/>
                      <w:sz w:val="18"/>
                      <w:szCs w:val="18"/>
                    </w:rPr>
                    <w:t>9.6%</w:t>
                  </w:r>
                </w:p>
              </w:tc>
              <w:tc>
                <w:tcPr>
                  <w:tcW w:w="966" w:type="dxa"/>
                  <w:shd w:val="clear" w:color="auto" w:fill="FFFFFF" w:themeFill="background1"/>
                  <w:vAlign w:val="bottom"/>
                </w:tcPr>
                <w:p w14:paraId="179214B6" w14:textId="77777777" w:rsidR="00993F9D" w:rsidRPr="009C58D6" w:rsidRDefault="00993F9D" w:rsidP="00993F9D">
                  <w:pPr>
                    <w:jc w:val="center"/>
                    <w:rPr>
                      <w:rFonts w:ascii="National 2" w:hAnsi="National 2" w:cs="Calibri"/>
                      <w:sz w:val="18"/>
                      <w:szCs w:val="18"/>
                      <w:highlight w:val="yellow"/>
                    </w:rPr>
                  </w:pPr>
                  <w:r w:rsidRPr="009C58D6">
                    <w:rPr>
                      <w:rFonts w:ascii="National 2" w:hAnsi="National 2" w:cs="Calibri"/>
                      <w:color w:val="000000"/>
                      <w:sz w:val="18"/>
                      <w:szCs w:val="18"/>
                    </w:rPr>
                    <w:t>14.5%</w:t>
                  </w:r>
                </w:p>
              </w:tc>
              <w:tc>
                <w:tcPr>
                  <w:tcW w:w="541" w:type="dxa"/>
                  <w:vAlign w:val="bottom"/>
                </w:tcPr>
                <w:p w14:paraId="5A314E73" w14:textId="77777777" w:rsidR="00993F9D" w:rsidRPr="00B17987" w:rsidRDefault="00993F9D" w:rsidP="00993F9D">
                  <w:pPr>
                    <w:jc w:val="center"/>
                    <w:rPr>
                      <w:rFonts w:ascii="National 2" w:hAnsi="National 2" w:cs="Calibri"/>
                      <w:sz w:val="18"/>
                      <w:szCs w:val="18"/>
                      <w:highlight w:val="yellow"/>
                    </w:rPr>
                  </w:pPr>
                  <w:r w:rsidRPr="00B17987">
                    <w:rPr>
                      <w:rFonts w:ascii="National 2" w:hAnsi="National 2" w:cs="Calibri"/>
                      <w:color w:val="000000"/>
                      <w:sz w:val="18"/>
                      <w:szCs w:val="18"/>
                    </w:rPr>
                    <w:t>1.0</w:t>
                  </w:r>
                </w:p>
              </w:tc>
            </w:tr>
            <w:tr w:rsidR="00993F9D" w:rsidRPr="00D17D0B" w14:paraId="0EC31E93" w14:textId="77777777" w:rsidTr="00642A50">
              <w:tc>
                <w:tcPr>
                  <w:tcW w:w="2749" w:type="dxa"/>
                  <w:shd w:val="clear" w:color="auto" w:fill="FFFFFF" w:themeFill="background1"/>
                  <w:vAlign w:val="bottom"/>
                </w:tcPr>
                <w:p w14:paraId="5942329E" w14:textId="77777777" w:rsidR="00993F9D" w:rsidRPr="009C58D6" w:rsidRDefault="00993F9D" w:rsidP="00993F9D">
                  <w:pPr>
                    <w:rPr>
                      <w:rFonts w:ascii="National 2" w:hAnsi="National 2" w:cs="Calibri"/>
                      <w:sz w:val="18"/>
                      <w:szCs w:val="18"/>
                      <w:highlight w:val="yellow"/>
                    </w:rPr>
                  </w:pPr>
                  <w:r w:rsidRPr="009C58D6">
                    <w:rPr>
                      <w:rFonts w:ascii="National 2" w:hAnsi="National 2" w:cs="Calibri"/>
                      <w:color w:val="000000"/>
                      <w:sz w:val="18"/>
                      <w:szCs w:val="18"/>
                    </w:rPr>
                    <w:t>Construction</w:t>
                  </w:r>
                </w:p>
              </w:tc>
              <w:tc>
                <w:tcPr>
                  <w:tcW w:w="819" w:type="dxa"/>
                  <w:shd w:val="clear" w:color="auto" w:fill="FFFFFF" w:themeFill="background1"/>
                  <w:vAlign w:val="bottom"/>
                </w:tcPr>
                <w:p w14:paraId="5B9CAD31" w14:textId="77777777" w:rsidR="00993F9D" w:rsidRPr="009C58D6" w:rsidRDefault="00993F9D" w:rsidP="00993F9D">
                  <w:pPr>
                    <w:jc w:val="center"/>
                    <w:rPr>
                      <w:rFonts w:ascii="National 2" w:hAnsi="National 2" w:cs="Calibri"/>
                      <w:sz w:val="18"/>
                      <w:szCs w:val="18"/>
                      <w:highlight w:val="yellow"/>
                    </w:rPr>
                  </w:pPr>
                  <w:r w:rsidRPr="009C58D6">
                    <w:rPr>
                      <w:rFonts w:ascii="National 2" w:hAnsi="National 2" w:cs="Calibri"/>
                      <w:color w:val="000000"/>
                      <w:sz w:val="18"/>
                      <w:szCs w:val="18"/>
                    </w:rPr>
                    <w:t>71</w:t>
                  </w:r>
                  <w:r>
                    <w:rPr>
                      <w:rFonts w:ascii="National 2" w:hAnsi="National 2" w:cs="Calibri"/>
                      <w:color w:val="000000"/>
                      <w:sz w:val="18"/>
                      <w:szCs w:val="18"/>
                    </w:rPr>
                    <w:t>,</w:t>
                  </w:r>
                  <w:r w:rsidRPr="009C58D6">
                    <w:rPr>
                      <w:rFonts w:ascii="National 2" w:hAnsi="National 2" w:cs="Calibri"/>
                      <w:color w:val="000000"/>
                      <w:sz w:val="18"/>
                      <w:szCs w:val="18"/>
                    </w:rPr>
                    <w:t>700</w:t>
                  </w:r>
                </w:p>
              </w:tc>
              <w:tc>
                <w:tcPr>
                  <w:tcW w:w="1020" w:type="dxa"/>
                  <w:shd w:val="clear" w:color="auto" w:fill="FFFFFF" w:themeFill="background1"/>
                  <w:vAlign w:val="bottom"/>
                </w:tcPr>
                <w:p w14:paraId="24AD09D1" w14:textId="77777777" w:rsidR="00993F9D" w:rsidRPr="009C58D6" w:rsidRDefault="00993F9D" w:rsidP="00993F9D">
                  <w:pPr>
                    <w:jc w:val="center"/>
                    <w:rPr>
                      <w:rFonts w:ascii="National 2" w:hAnsi="National 2" w:cs="Calibri"/>
                      <w:sz w:val="18"/>
                      <w:szCs w:val="18"/>
                      <w:highlight w:val="yellow"/>
                    </w:rPr>
                  </w:pPr>
                  <w:r w:rsidRPr="009C58D6">
                    <w:rPr>
                      <w:rFonts w:ascii="National 2" w:hAnsi="National 2" w:cs="Calibri"/>
                      <w:color w:val="000000"/>
                      <w:sz w:val="18"/>
                      <w:szCs w:val="18"/>
                    </w:rPr>
                    <w:t>8.6%</w:t>
                  </w:r>
                </w:p>
              </w:tc>
              <w:tc>
                <w:tcPr>
                  <w:tcW w:w="966" w:type="dxa"/>
                  <w:shd w:val="clear" w:color="auto" w:fill="FFFFFF" w:themeFill="background1"/>
                  <w:vAlign w:val="bottom"/>
                </w:tcPr>
                <w:p w14:paraId="1D5E68AD" w14:textId="77777777" w:rsidR="00993F9D" w:rsidRPr="009C58D6" w:rsidRDefault="00993F9D" w:rsidP="00993F9D">
                  <w:pPr>
                    <w:jc w:val="center"/>
                    <w:rPr>
                      <w:rFonts w:ascii="National 2" w:hAnsi="National 2" w:cs="Calibri"/>
                      <w:sz w:val="18"/>
                      <w:szCs w:val="18"/>
                      <w:highlight w:val="yellow"/>
                    </w:rPr>
                  </w:pPr>
                  <w:r w:rsidRPr="009C58D6">
                    <w:rPr>
                      <w:rFonts w:ascii="National 2" w:hAnsi="National 2" w:cs="Calibri"/>
                      <w:color w:val="000000"/>
                      <w:sz w:val="18"/>
                      <w:szCs w:val="18"/>
                    </w:rPr>
                    <w:t>4.8%</w:t>
                  </w:r>
                </w:p>
              </w:tc>
              <w:tc>
                <w:tcPr>
                  <w:tcW w:w="541" w:type="dxa"/>
                  <w:vAlign w:val="bottom"/>
                </w:tcPr>
                <w:p w14:paraId="49E26ED8" w14:textId="77777777" w:rsidR="00993F9D" w:rsidRPr="00B17987" w:rsidRDefault="00993F9D" w:rsidP="00993F9D">
                  <w:pPr>
                    <w:jc w:val="center"/>
                    <w:rPr>
                      <w:rFonts w:ascii="National 2" w:hAnsi="National 2" w:cs="Calibri"/>
                      <w:sz w:val="18"/>
                      <w:szCs w:val="18"/>
                      <w:highlight w:val="yellow"/>
                    </w:rPr>
                  </w:pPr>
                  <w:r w:rsidRPr="00B17987">
                    <w:rPr>
                      <w:rFonts w:ascii="National 2" w:hAnsi="National 2" w:cs="Calibri"/>
                      <w:color w:val="000000"/>
                      <w:sz w:val="18"/>
                      <w:szCs w:val="18"/>
                    </w:rPr>
                    <w:t>1.0</w:t>
                  </w:r>
                </w:p>
              </w:tc>
            </w:tr>
            <w:tr w:rsidR="00993F9D" w:rsidRPr="00D17D0B" w14:paraId="41D46DBA" w14:textId="77777777" w:rsidTr="00642A50">
              <w:tc>
                <w:tcPr>
                  <w:tcW w:w="2749" w:type="dxa"/>
                  <w:shd w:val="clear" w:color="auto" w:fill="FFFFFF" w:themeFill="background1"/>
                  <w:vAlign w:val="bottom"/>
                </w:tcPr>
                <w:p w14:paraId="6E78B987" w14:textId="77777777" w:rsidR="00993F9D" w:rsidRPr="009C58D6" w:rsidRDefault="00993F9D" w:rsidP="00993F9D">
                  <w:pPr>
                    <w:rPr>
                      <w:rFonts w:ascii="National 2" w:hAnsi="National 2" w:cs="Calibri"/>
                      <w:sz w:val="18"/>
                      <w:szCs w:val="18"/>
                      <w:highlight w:val="yellow"/>
                    </w:rPr>
                  </w:pPr>
                  <w:r w:rsidRPr="009C58D6">
                    <w:rPr>
                      <w:rFonts w:ascii="National 2" w:hAnsi="National 2" w:cs="Calibri"/>
                      <w:color w:val="000000"/>
                      <w:sz w:val="18"/>
                      <w:szCs w:val="18"/>
                    </w:rPr>
                    <w:t>Education &amp; Training</w:t>
                  </w:r>
                </w:p>
              </w:tc>
              <w:tc>
                <w:tcPr>
                  <w:tcW w:w="819" w:type="dxa"/>
                  <w:shd w:val="clear" w:color="auto" w:fill="FFFFFF" w:themeFill="background1"/>
                  <w:vAlign w:val="bottom"/>
                </w:tcPr>
                <w:p w14:paraId="28725EDD" w14:textId="77777777" w:rsidR="00993F9D" w:rsidRPr="009C58D6" w:rsidRDefault="00993F9D" w:rsidP="00993F9D">
                  <w:pPr>
                    <w:jc w:val="center"/>
                    <w:rPr>
                      <w:rFonts w:ascii="National 2" w:hAnsi="National 2" w:cs="Calibri"/>
                      <w:sz w:val="18"/>
                      <w:szCs w:val="18"/>
                      <w:highlight w:val="yellow"/>
                    </w:rPr>
                  </w:pPr>
                  <w:r w:rsidRPr="009C58D6">
                    <w:rPr>
                      <w:rFonts w:ascii="National 2" w:hAnsi="National 2" w:cs="Calibri"/>
                      <w:color w:val="000000"/>
                      <w:sz w:val="18"/>
                      <w:szCs w:val="18"/>
                    </w:rPr>
                    <w:t>65</w:t>
                  </w:r>
                  <w:r>
                    <w:rPr>
                      <w:rFonts w:ascii="National 2" w:hAnsi="National 2" w:cs="Calibri"/>
                      <w:color w:val="000000"/>
                      <w:sz w:val="18"/>
                      <w:szCs w:val="18"/>
                    </w:rPr>
                    <w:t>,</w:t>
                  </w:r>
                  <w:r w:rsidRPr="009C58D6">
                    <w:rPr>
                      <w:rFonts w:ascii="National 2" w:hAnsi="National 2" w:cs="Calibri"/>
                      <w:color w:val="000000"/>
                      <w:sz w:val="18"/>
                      <w:szCs w:val="18"/>
                    </w:rPr>
                    <w:t>000</w:t>
                  </w:r>
                </w:p>
              </w:tc>
              <w:tc>
                <w:tcPr>
                  <w:tcW w:w="1020" w:type="dxa"/>
                  <w:shd w:val="clear" w:color="auto" w:fill="FFFFFF" w:themeFill="background1"/>
                  <w:vAlign w:val="bottom"/>
                </w:tcPr>
                <w:p w14:paraId="46AE10A3" w14:textId="77777777" w:rsidR="00993F9D" w:rsidRPr="009C58D6" w:rsidRDefault="00993F9D" w:rsidP="00993F9D">
                  <w:pPr>
                    <w:jc w:val="center"/>
                    <w:rPr>
                      <w:rFonts w:ascii="National 2" w:hAnsi="National 2" w:cs="Calibri"/>
                      <w:sz w:val="18"/>
                      <w:szCs w:val="18"/>
                      <w:highlight w:val="yellow"/>
                    </w:rPr>
                  </w:pPr>
                  <w:r w:rsidRPr="009C58D6">
                    <w:rPr>
                      <w:rFonts w:ascii="National 2" w:hAnsi="National 2" w:cs="Calibri"/>
                      <w:color w:val="000000"/>
                      <w:sz w:val="18"/>
                      <w:szCs w:val="18"/>
                    </w:rPr>
                    <w:t>7.8%</w:t>
                  </w:r>
                </w:p>
              </w:tc>
              <w:tc>
                <w:tcPr>
                  <w:tcW w:w="966" w:type="dxa"/>
                  <w:shd w:val="clear" w:color="auto" w:fill="FFFFFF" w:themeFill="background1"/>
                  <w:vAlign w:val="bottom"/>
                </w:tcPr>
                <w:p w14:paraId="1EC11A94" w14:textId="77777777" w:rsidR="00993F9D" w:rsidRPr="009C58D6" w:rsidRDefault="00993F9D" w:rsidP="00993F9D">
                  <w:pPr>
                    <w:jc w:val="center"/>
                    <w:rPr>
                      <w:rFonts w:ascii="National 2" w:hAnsi="National 2" w:cs="Calibri"/>
                      <w:sz w:val="18"/>
                      <w:szCs w:val="18"/>
                      <w:highlight w:val="yellow"/>
                    </w:rPr>
                  </w:pPr>
                  <w:r w:rsidRPr="009C58D6">
                    <w:rPr>
                      <w:rFonts w:ascii="National 2" w:hAnsi="National 2" w:cs="Calibri"/>
                      <w:color w:val="000000"/>
                      <w:sz w:val="18"/>
                      <w:szCs w:val="18"/>
                    </w:rPr>
                    <w:t>8.4%</w:t>
                  </w:r>
                </w:p>
              </w:tc>
              <w:tc>
                <w:tcPr>
                  <w:tcW w:w="541" w:type="dxa"/>
                  <w:shd w:val="clear" w:color="auto" w:fill="auto"/>
                  <w:vAlign w:val="bottom"/>
                </w:tcPr>
                <w:p w14:paraId="71255FAD" w14:textId="77777777" w:rsidR="00993F9D" w:rsidRPr="00B17987" w:rsidRDefault="00993F9D" w:rsidP="00993F9D">
                  <w:pPr>
                    <w:jc w:val="center"/>
                    <w:rPr>
                      <w:rFonts w:ascii="National 2" w:hAnsi="National 2" w:cs="Calibri"/>
                      <w:sz w:val="18"/>
                      <w:szCs w:val="18"/>
                      <w:highlight w:val="yellow"/>
                    </w:rPr>
                  </w:pPr>
                  <w:r w:rsidRPr="00B17987">
                    <w:rPr>
                      <w:rFonts w:ascii="National 2" w:hAnsi="National 2" w:cs="Calibri"/>
                      <w:color w:val="000000"/>
                      <w:sz w:val="18"/>
                      <w:szCs w:val="18"/>
                    </w:rPr>
                    <w:t>0.9</w:t>
                  </w:r>
                </w:p>
              </w:tc>
            </w:tr>
            <w:tr w:rsidR="00993F9D" w:rsidRPr="00D17D0B" w14:paraId="5FDA44BA" w14:textId="77777777" w:rsidTr="00642A50">
              <w:tc>
                <w:tcPr>
                  <w:tcW w:w="2749" w:type="dxa"/>
                  <w:shd w:val="clear" w:color="auto" w:fill="FFFFFF" w:themeFill="background1"/>
                  <w:vAlign w:val="bottom"/>
                </w:tcPr>
                <w:p w14:paraId="0D825868" w14:textId="77777777" w:rsidR="00993F9D" w:rsidRPr="009C58D6" w:rsidRDefault="00993F9D" w:rsidP="00993F9D">
                  <w:pPr>
                    <w:rPr>
                      <w:rFonts w:ascii="National 2" w:hAnsi="National 2" w:cs="Calibri"/>
                      <w:sz w:val="18"/>
                      <w:szCs w:val="18"/>
                      <w:highlight w:val="yellow"/>
                    </w:rPr>
                  </w:pPr>
                  <w:r w:rsidRPr="009C58D6">
                    <w:rPr>
                      <w:rFonts w:ascii="National 2" w:hAnsi="National 2" w:cs="Calibri"/>
                      <w:color w:val="000000"/>
                      <w:sz w:val="18"/>
                      <w:szCs w:val="18"/>
                    </w:rPr>
                    <w:t>Wholesale Trade</w:t>
                  </w:r>
                </w:p>
              </w:tc>
              <w:tc>
                <w:tcPr>
                  <w:tcW w:w="819" w:type="dxa"/>
                  <w:shd w:val="clear" w:color="auto" w:fill="FFFFFF" w:themeFill="background1"/>
                  <w:vAlign w:val="bottom"/>
                </w:tcPr>
                <w:p w14:paraId="5C864D78" w14:textId="77777777" w:rsidR="00993F9D" w:rsidRPr="009C58D6" w:rsidRDefault="00993F9D" w:rsidP="00993F9D">
                  <w:pPr>
                    <w:jc w:val="center"/>
                    <w:rPr>
                      <w:rFonts w:ascii="National 2" w:hAnsi="National 2" w:cs="Calibri"/>
                      <w:sz w:val="18"/>
                      <w:szCs w:val="18"/>
                      <w:highlight w:val="yellow"/>
                    </w:rPr>
                  </w:pPr>
                  <w:r w:rsidRPr="009C58D6">
                    <w:rPr>
                      <w:rFonts w:ascii="National 2" w:hAnsi="National 2" w:cs="Calibri"/>
                      <w:color w:val="000000"/>
                      <w:sz w:val="18"/>
                      <w:szCs w:val="18"/>
                    </w:rPr>
                    <w:t>61</w:t>
                  </w:r>
                  <w:r>
                    <w:rPr>
                      <w:rFonts w:ascii="National 2" w:hAnsi="National 2" w:cs="Calibri"/>
                      <w:color w:val="000000"/>
                      <w:sz w:val="18"/>
                      <w:szCs w:val="18"/>
                    </w:rPr>
                    <w:t>,</w:t>
                  </w:r>
                  <w:r w:rsidRPr="009C58D6">
                    <w:rPr>
                      <w:rFonts w:ascii="National 2" w:hAnsi="National 2" w:cs="Calibri"/>
                      <w:color w:val="000000"/>
                      <w:sz w:val="18"/>
                      <w:szCs w:val="18"/>
                    </w:rPr>
                    <w:t>600</w:t>
                  </w:r>
                </w:p>
              </w:tc>
              <w:tc>
                <w:tcPr>
                  <w:tcW w:w="1020" w:type="dxa"/>
                  <w:shd w:val="clear" w:color="auto" w:fill="FFFFFF" w:themeFill="background1"/>
                  <w:vAlign w:val="bottom"/>
                </w:tcPr>
                <w:p w14:paraId="2756DD92" w14:textId="77777777" w:rsidR="00993F9D" w:rsidRPr="009C58D6" w:rsidRDefault="00993F9D" w:rsidP="00993F9D">
                  <w:pPr>
                    <w:jc w:val="center"/>
                    <w:rPr>
                      <w:rFonts w:ascii="National 2" w:hAnsi="National 2" w:cs="Calibri"/>
                      <w:sz w:val="18"/>
                      <w:szCs w:val="18"/>
                      <w:highlight w:val="yellow"/>
                    </w:rPr>
                  </w:pPr>
                  <w:r w:rsidRPr="009C58D6">
                    <w:rPr>
                      <w:rFonts w:ascii="National 2" w:hAnsi="National 2" w:cs="Calibri"/>
                      <w:color w:val="000000"/>
                      <w:sz w:val="18"/>
                      <w:szCs w:val="18"/>
                    </w:rPr>
                    <w:t>7.4%</w:t>
                  </w:r>
                </w:p>
              </w:tc>
              <w:tc>
                <w:tcPr>
                  <w:tcW w:w="966" w:type="dxa"/>
                  <w:shd w:val="clear" w:color="auto" w:fill="FFFFFF" w:themeFill="background1"/>
                  <w:vAlign w:val="bottom"/>
                </w:tcPr>
                <w:p w14:paraId="4A7EEFDF" w14:textId="77777777" w:rsidR="00993F9D" w:rsidRPr="009C58D6" w:rsidRDefault="00993F9D" w:rsidP="00993F9D">
                  <w:pPr>
                    <w:jc w:val="center"/>
                    <w:rPr>
                      <w:rFonts w:ascii="National 2" w:hAnsi="National 2" w:cs="Calibri"/>
                      <w:sz w:val="18"/>
                      <w:szCs w:val="18"/>
                      <w:highlight w:val="yellow"/>
                    </w:rPr>
                  </w:pPr>
                  <w:r w:rsidRPr="009C58D6">
                    <w:rPr>
                      <w:rFonts w:ascii="National 2" w:hAnsi="National 2" w:cs="Calibri"/>
                      <w:color w:val="000000"/>
                      <w:sz w:val="18"/>
                      <w:szCs w:val="18"/>
                    </w:rPr>
                    <w:t>5.6%</w:t>
                  </w:r>
                </w:p>
              </w:tc>
              <w:tc>
                <w:tcPr>
                  <w:tcW w:w="541" w:type="dxa"/>
                  <w:shd w:val="clear" w:color="auto" w:fill="auto"/>
                  <w:vAlign w:val="bottom"/>
                </w:tcPr>
                <w:p w14:paraId="02C522F2" w14:textId="77777777" w:rsidR="00993F9D" w:rsidRPr="00B17987" w:rsidRDefault="00993F9D" w:rsidP="00993F9D">
                  <w:pPr>
                    <w:jc w:val="center"/>
                    <w:rPr>
                      <w:rFonts w:ascii="National 2" w:hAnsi="National 2" w:cs="Calibri"/>
                      <w:sz w:val="18"/>
                      <w:szCs w:val="18"/>
                      <w:highlight w:val="yellow"/>
                    </w:rPr>
                  </w:pPr>
                  <w:r w:rsidRPr="00B17987">
                    <w:rPr>
                      <w:rFonts w:ascii="National 2" w:hAnsi="National 2" w:cs="Calibri"/>
                      <w:color w:val="000000"/>
                      <w:sz w:val="18"/>
                      <w:szCs w:val="18"/>
                    </w:rPr>
                    <w:t>1.5</w:t>
                  </w:r>
                </w:p>
              </w:tc>
            </w:tr>
          </w:tbl>
          <w:p w14:paraId="538B70DC" w14:textId="77777777" w:rsidR="00993F9D" w:rsidRPr="00D96A0D" w:rsidRDefault="00993F9D" w:rsidP="00993F9D">
            <w:pPr>
              <w:rPr>
                <w:rFonts w:ascii="National 2" w:hAnsi="National 2" w:cs="Calibri"/>
                <w:sz w:val="10"/>
                <w:szCs w:val="10"/>
                <w:highlight w:val="yellow"/>
              </w:rPr>
            </w:pPr>
          </w:p>
          <w:tbl>
            <w:tblPr>
              <w:tblStyle w:val="TableGrid"/>
              <w:tblW w:w="6095" w:type="dxa"/>
              <w:tblLayout w:type="fixed"/>
              <w:tblLook w:val="04A0" w:firstRow="1" w:lastRow="0" w:firstColumn="1" w:lastColumn="0" w:noHBand="0" w:noVBand="1"/>
            </w:tblPr>
            <w:tblGrid>
              <w:gridCol w:w="4277"/>
              <w:gridCol w:w="992"/>
              <w:gridCol w:w="826"/>
            </w:tblGrid>
            <w:tr w:rsidR="00993F9D" w:rsidRPr="002268F8" w14:paraId="4D38C1A5" w14:textId="77777777" w:rsidTr="00642A50">
              <w:tc>
                <w:tcPr>
                  <w:tcW w:w="4277" w:type="dxa"/>
                  <w:vAlign w:val="center"/>
                </w:tcPr>
                <w:p w14:paraId="277577DF" w14:textId="77777777" w:rsidR="00993F9D" w:rsidRPr="00306DE5" w:rsidRDefault="00993F9D" w:rsidP="00993F9D">
                  <w:pPr>
                    <w:rPr>
                      <w:rFonts w:ascii="National 2" w:hAnsi="National 2"/>
                      <w:b/>
                      <w:bCs/>
                      <w:color w:val="1B384F"/>
                      <w:sz w:val="18"/>
                      <w:szCs w:val="18"/>
                    </w:rPr>
                  </w:pPr>
                  <w:r w:rsidRPr="00306DE5">
                    <w:rPr>
                      <w:rFonts w:ascii="National 2" w:hAnsi="National 2" w:cs="Calibri"/>
                      <w:b/>
                      <w:bCs/>
                      <w:color w:val="1B384F"/>
                      <w:sz w:val="18"/>
                      <w:szCs w:val="18"/>
                    </w:rPr>
                    <w:t>Professional, Scientific &amp; Technical Services</w:t>
                  </w:r>
                </w:p>
              </w:tc>
              <w:tc>
                <w:tcPr>
                  <w:tcW w:w="992" w:type="dxa"/>
                  <w:vAlign w:val="bottom"/>
                </w:tcPr>
                <w:p w14:paraId="60847895" w14:textId="77777777" w:rsidR="00993F9D" w:rsidRPr="00306DE5" w:rsidRDefault="00993F9D" w:rsidP="00993F9D">
                  <w:pPr>
                    <w:jc w:val="center"/>
                    <w:rPr>
                      <w:rFonts w:ascii="National 2" w:hAnsi="National 2"/>
                      <w:b/>
                      <w:bCs/>
                      <w:color w:val="1B384F"/>
                      <w:sz w:val="18"/>
                      <w:szCs w:val="18"/>
                    </w:rPr>
                  </w:pPr>
                  <w:r w:rsidRPr="00306DE5">
                    <w:rPr>
                      <w:rFonts w:ascii="National 2" w:hAnsi="National 2" w:cs="Calibri"/>
                      <w:b/>
                      <w:bCs/>
                      <w:color w:val="1B384F"/>
                      <w:sz w:val="18"/>
                      <w:szCs w:val="18"/>
                    </w:rPr>
                    <w:t>Jobs</w:t>
                  </w:r>
                </w:p>
              </w:tc>
              <w:tc>
                <w:tcPr>
                  <w:tcW w:w="826" w:type="dxa"/>
                  <w:vAlign w:val="bottom"/>
                </w:tcPr>
                <w:p w14:paraId="5512CC69" w14:textId="77777777" w:rsidR="00993F9D" w:rsidRPr="00306DE5" w:rsidRDefault="00993F9D" w:rsidP="00993F9D">
                  <w:pPr>
                    <w:jc w:val="center"/>
                    <w:rPr>
                      <w:rFonts w:ascii="National 2" w:hAnsi="National 2"/>
                      <w:b/>
                      <w:bCs/>
                      <w:color w:val="1B384F"/>
                      <w:sz w:val="18"/>
                      <w:szCs w:val="18"/>
                    </w:rPr>
                  </w:pPr>
                  <w:r w:rsidRPr="00306DE5">
                    <w:rPr>
                      <w:rFonts w:ascii="National 2" w:hAnsi="National 2" w:cs="Calibri"/>
                      <w:b/>
                      <w:bCs/>
                      <w:color w:val="1B384F"/>
                      <w:sz w:val="18"/>
                      <w:szCs w:val="18"/>
                    </w:rPr>
                    <w:t>LQ</w:t>
                  </w:r>
                </w:p>
              </w:tc>
            </w:tr>
            <w:tr w:rsidR="00993F9D" w:rsidRPr="002268F8" w14:paraId="4209D58D" w14:textId="77777777" w:rsidTr="00642A50">
              <w:tc>
                <w:tcPr>
                  <w:tcW w:w="4277" w:type="dxa"/>
                  <w:vAlign w:val="bottom"/>
                </w:tcPr>
                <w:p w14:paraId="1569A731" w14:textId="77777777" w:rsidR="00993F9D" w:rsidRPr="002268F8" w:rsidRDefault="00993F9D" w:rsidP="00993F9D">
                  <w:pPr>
                    <w:rPr>
                      <w:rFonts w:ascii="National 2" w:hAnsi="National 2"/>
                      <w:b/>
                      <w:bCs/>
                      <w:color w:val="1B324F"/>
                      <w:sz w:val="18"/>
                      <w:szCs w:val="18"/>
                    </w:rPr>
                  </w:pPr>
                  <w:r>
                    <w:rPr>
                      <w:rFonts w:ascii="National 2" w:hAnsi="National 2" w:cs="Calibri"/>
                      <w:color w:val="000000"/>
                      <w:sz w:val="18"/>
                      <w:szCs w:val="18"/>
                    </w:rPr>
                    <w:t>Management &amp; Related Consulting Services</w:t>
                  </w:r>
                </w:p>
              </w:tc>
              <w:tc>
                <w:tcPr>
                  <w:tcW w:w="992" w:type="dxa"/>
                  <w:vAlign w:val="bottom"/>
                </w:tcPr>
                <w:p w14:paraId="113FCAE3" w14:textId="77777777" w:rsidR="00993F9D" w:rsidRPr="002268F8" w:rsidRDefault="00993F9D" w:rsidP="00993F9D">
                  <w:pPr>
                    <w:jc w:val="center"/>
                    <w:rPr>
                      <w:rFonts w:ascii="National 2" w:hAnsi="National 2" w:cs="Arial"/>
                      <w:sz w:val="18"/>
                      <w:szCs w:val="18"/>
                    </w:rPr>
                  </w:pPr>
                  <w:r>
                    <w:rPr>
                      <w:rFonts w:ascii="National 2" w:hAnsi="National 2" w:cs="Arial"/>
                      <w:sz w:val="16"/>
                      <w:szCs w:val="16"/>
                    </w:rPr>
                    <w:t>24,000</w:t>
                  </w:r>
                </w:p>
              </w:tc>
              <w:tc>
                <w:tcPr>
                  <w:tcW w:w="826" w:type="dxa"/>
                  <w:shd w:val="clear" w:color="auto" w:fill="auto"/>
                  <w:vAlign w:val="bottom"/>
                </w:tcPr>
                <w:p w14:paraId="57570FE6" w14:textId="77777777" w:rsidR="00993F9D" w:rsidRPr="002268F8" w:rsidRDefault="00993F9D" w:rsidP="00993F9D">
                  <w:pPr>
                    <w:jc w:val="center"/>
                    <w:rPr>
                      <w:rFonts w:ascii="National 2" w:hAnsi="National 2"/>
                      <w:color w:val="1B324F"/>
                      <w:sz w:val="18"/>
                      <w:szCs w:val="18"/>
                    </w:rPr>
                  </w:pPr>
                  <w:r w:rsidRPr="002268F8">
                    <w:rPr>
                      <w:rFonts w:ascii="National 2" w:hAnsi="National 2" w:cs="Calibri"/>
                      <w:color w:val="000000"/>
                      <w:sz w:val="18"/>
                      <w:szCs w:val="18"/>
                    </w:rPr>
                    <w:t>1.</w:t>
                  </w:r>
                  <w:r>
                    <w:rPr>
                      <w:rFonts w:ascii="National 2" w:hAnsi="National 2" w:cs="Calibri"/>
                      <w:color w:val="000000"/>
                      <w:sz w:val="18"/>
                      <w:szCs w:val="18"/>
                    </w:rPr>
                    <w:t>4</w:t>
                  </w:r>
                </w:p>
              </w:tc>
            </w:tr>
            <w:tr w:rsidR="00993F9D" w:rsidRPr="002268F8" w14:paraId="1D52EFA8" w14:textId="77777777" w:rsidTr="00642A50">
              <w:tc>
                <w:tcPr>
                  <w:tcW w:w="4277" w:type="dxa"/>
                  <w:vAlign w:val="bottom"/>
                </w:tcPr>
                <w:p w14:paraId="0E526AC0" w14:textId="77777777" w:rsidR="00993F9D" w:rsidRPr="002268F8" w:rsidRDefault="00993F9D" w:rsidP="00993F9D">
                  <w:pPr>
                    <w:rPr>
                      <w:rFonts w:ascii="National 2" w:hAnsi="National 2" w:cs="Calibri"/>
                      <w:color w:val="000000"/>
                      <w:sz w:val="18"/>
                      <w:szCs w:val="18"/>
                    </w:rPr>
                  </w:pPr>
                  <w:r>
                    <w:rPr>
                      <w:rFonts w:ascii="National 2" w:hAnsi="National 2" w:cs="Calibri"/>
                      <w:color w:val="000000"/>
                      <w:sz w:val="18"/>
                      <w:szCs w:val="18"/>
                    </w:rPr>
                    <w:t>Architectural, Engineering &amp; Technical Services</w:t>
                  </w:r>
                </w:p>
              </w:tc>
              <w:tc>
                <w:tcPr>
                  <w:tcW w:w="992" w:type="dxa"/>
                  <w:vAlign w:val="bottom"/>
                </w:tcPr>
                <w:p w14:paraId="0AD60A24" w14:textId="77777777" w:rsidR="00993F9D" w:rsidRPr="002268F8" w:rsidRDefault="00993F9D" w:rsidP="00993F9D">
                  <w:pPr>
                    <w:jc w:val="center"/>
                    <w:rPr>
                      <w:rFonts w:ascii="National 2" w:hAnsi="National 2" w:cs="Arial"/>
                      <w:sz w:val="16"/>
                      <w:szCs w:val="16"/>
                    </w:rPr>
                  </w:pPr>
                  <w:r>
                    <w:rPr>
                      <w:rFonts w:ascii="National 2" w:hAnsi="National 2" w:cs="Arial"/>
                      <w:sz w:val="16"/>
                      <w:szCs w:val="16"/>
                    </w:rPr>
                    <w:t>21,500</w:t>
                  </w:r>
                </w:p>
              </w:tc>
              <w:tc>
                <w:tcPr>
                  <w:tcW w:w="826" w:type="dxa"/>
                  <w:shd w:val="clear" w:color="auto" w:fill="auto"/>
                  <w:vAlign w:val="bottom"/>
                </w:tcPr>
                <w:p w14:paraId="504FB801" w14:textId="77777777" w:rsidR="00993F9D" w:rsidRPr="002268F8" w:rsidRDefault="00993F9D" w:rsidP="00993F9D">
                  <w:pPr>
                    <w:jc w:val="center"/>
                    <w:rPr>
                      <w:rFonts w:ascii="National 2" w:hAnsi="National 2" w:cs="Calibri"/>
                      <w:color w:val="000000"/>
                      <w:sz w:val="18"/>
                      <w:szCs w:val="18"/>
                    </w:rPr>
                  </w:pPr>
                  <w:r>
                    <w:rPr>
                      <w:rFonts w:ascii="National 2" w:hAnsi="National 2" w:cs="Calibri"/>
                      <w:color w:val="000000"/>
                      <w:sz w:val="18"/>
                      <w:szCs w:val="18"/>
                    </w:rPr>
                    <w:t>1.2</w:t>
                  </w:r>
                </w:p>
              </w:tc>
            </w:tr>
            <w:tr w:rsidR="00993F9D" w:rsidRPr="002268F8" w14:paraId="011B0FA7" w14:textId="77777777" w:rsidTr="00642A50">
              <w:trPr>
                <w:trHeight w:val="64"/>
              </w:trPr>
              <w:tc>
                <w:tcPr>
                  <w:tcW w:w="4277" w:type="dxa"/>
                  <w:vAlign w:val="bottom"/>
                </w:tcPr>
                <w:p w14:paraId="11C0CC16" w14:textId="77777777" w:rsidR="00993F9D" w:rsidRPr="002268F8" w:rsidRDefault="00993F9D" w:rsidP="00993F9D">
                  <w:pPr>
                    <w:rPr>
                      <w:rFonts w:ascii="National 2" w:hAnsi="National 2"/>
                      <w:b/>
                      <w:bCs/>
                      <w:color w:val="1B324F"/>
                      <w:sz w:val="18"/>
                      <w:szCs w:val="18"/>
                    </w:rPr>
                  </w:pPr>
                  <w:r w:rsidRPr="002268F8">
                    <w:rPr>
                      <w:rFonts w:ascii="National 2" w:hAnsi="National 2" w:cs="Calibri"/>
                      <w:color w:val="000000"/>
                      <w:sz w:val="18"/>
                      <w:szCs w:val="18"/>
                    </w:rPr>
                    <w:t xml:space="preserve">Computer System Design </w:t>
                  </w:r>
                  <w:r>
                    <w:rPr>
                      <w:rFonts w:ascii="National 2" w:hAnsi="National 2" w:cs="Calibri"/>
                      <w:color w:val="000000"/>
                      <w:sz w:val="18"/>
                      <w:szCs w:val="18"/>
                    </w:rPr>
                    <w:t>&amp;</w:t>
                  </w:r>
                  <w:r w:rsidRPr="002268F8">
                    <w:rPr>
                      <w:rFonts w:ascii="National 2" w:hAnsi="National 2" w:cs="Calibri"/>
                      <w:color w:val="000000"/>
                      <w:sz w:val="18"/>
                      <w:szCs w:val="18"/>
                    </w:rPr>
                    <w:t xml:space="preserve"> Related Services</w:t>
                  </w:r>
                </w:p>
              </w:tc>
              <w:tc>
                <w:tcPr>
                  <w:tcW w:w="992" w:type="dxa"/>
                  <w:vAlign w:val="bottom"/>
                </w:tcPr>
                <w:p w14:paraId="2C62297B" w14:textId="77777777" w:rsidR="00993F9D" w:rsidRPr="002268F8" w:rsidRDefault="00993F9D" w:rsidP="00993F9D">
                  <w:pPr>
                    <w:jc w:val="center"/>
                    <w:rPr>
                      <w:rFonts w:ascii="National 2" w:hAnsi="National 2" w:cs="Arial"/>
                      <w:sz w:val="18"/>
                      <w:szCs w:val="18"/>
                    </w:rPr>
                  </w:pPr>
                  <w:r w:rsidRPr="002268F8">
                    <w:rPr>
                      <w:rFonts w:ascii="National 2" w:hAnsi="National 2" w:cs="Arial"/>
                      <w:sz w:val="16"/>
                      <w:szCs w:val="16"/>
                    </w:rPr>
                    <w:t>20</w:t>
                  </w:r>
                  <w:r>
                    <w:rPr>
                      <w:rFonts w:ascii="National 2" w:hAnsi="National 2" w:cs="Arial"/>
                      <w:sz w:val="16"/>
                      <w:szCs w:val="16"/>
                    </w:rPr>
                    <w:t>,</w:t>
                  </w:r>
                  <w:r w:rsidRPr="002268F8">
                    <w:rPr>
                      <w:rFonts w:ascii="National 2" w:hAnsi="National 2" w:cs="Arial"/>
                      <w:sz w:val="16"/>
                      <w:szCs w:val="16"/>
                    </w:rPr>
                    <w:t>600</w:t>
                  </w:r>
                </w:p>
              </w:tc>
              <w:tc>
                <w:tcPr>
                  <w:tcW w:w="826" w:type="dxa"/>
                  <w:shd w:val="clear" w:color="auto" w:fill="auto"/>
                  <w:vAlign w:val="bottom"/>
                </w:tcPr>
                <w:p w14:paraId="4CDE2415" w14:textId="77777777" w:rsidR="00993F9D" w:rsidRPr="002268F8" w:rsidRDefault="00993F9D" w:rsidP="00993F9D">
                  <w:pPr>
                    <w:jc w:val="center"/>
                    <w:rPr>
                      <w:rFonts w:ascii="National 2" w:hAnsi="National 2"/>
                      <w:color w:val="1B324F"/>
                      <w:sz w:val="18"/>
                      <w:szCs w:val="18"/>
                    </w:rPr>
                  </w:pPr>
                  <w:r w:rsidRPr="002268F8">
                    <w:rPr>
                      <w:rFonts w:ascii="National 2" w:hAnsi="National 2" w:cs="Calibri"/>
                      <w:color w:val="000000"/>
                      <w:sz w:val="18"/>
                      <w:szCs w:val="18"/>
                    </w:rPr>
                    <w:t>1.5</w:t>
                  </w:r>
                </w:p>
              </w:tc>
            </w:tr>
            <w:tr w:rsidR="00993F9D" w:rsidRPr="002268F8" w14:paraId="06F2A203" w14:textId="77777777" w:rsidTr="00642A50">
              <w:trPr>
                <w:trHeight w:val="64"/>
              </w:trPr>
              <w:tc>
                <w:tcPr>
                  <w:tcW w:w="4277" w:type="dxa"/>
                  <w:vAlign w:val="bottom"/>
                </w:tcPr>
                <w:p w14:paraId="06341ADD" w14:textId="77777777" w:rsidR="00993F9D" w:rsidRPr="002268F8" w:rsidRDefault="00993F9D" w:rsidP="00993F9D">
                  <w:pPr>
                    <w:rPr>
                      <w:rFonts w:ascii="National 2" w:hAnsi="National 2" w:cs="Calibri"/>
                      <w:color w:val="000000"/>
                      <w:sz w:val="18"/>
                      <w:szCs w:val="18"/>
                    </w:rPr>
                  </w:pPr>
                  <w:r w:rsidRPr="003D6D4C">
                    <w:rPr>
                      <w:rFonts w:ascii="National 2" w:hAnsi="National 2" w:cs="Calibri"/>
                      <w:color w:val="000000"/>
                      <w:sz w:val="18"/>
                      <w:szCs w:val="18"/>
                    </w:rPr>
                    <w:t xml:space="preserve">Legal </w:t>
                  </w:r>
                  <w:r>
                    <w:rPr>
                      <w:rFonts w:ascii="National 2" w:hAnsi="National 2" w:cs="Calibri"/>
                      <w:color w:val="000000"/>
                      <w:sz w:val="18"/>
                      <w:szCs w:val="18"/>
                    </w:rPr>
                    <w:t>&amp;</w:t>
                  </w:r>
                  <w:r w:rsidRPr="003D6D4C">
                    <w:rPr>
                      <w:rFonts w:ascii="National 2" w:hAnsi="National 2" w:cs="Calibri"/>
                      <w:color w:val="000000"/>
                      <w:sz w:val="18"/>
                      <w:szCs w:val="18"/>
                    </w:rPr>
                    <w:t xml:space="preserve"> Accounting Services</w:t>
                  </w:r>
                </w:p>
              </w:tc>
              <w:tc>
                <w:tcPr>
                  <w:tcW w:w="992" w:type="dxa"/>
                  <w:vAlign w:val="bottom"/>
                </w:tcPr>
                <w:p w14:paraId="17F755AC" w14:textId="77777777" w:rsidR="00993F9D" w:rsidRPr="002268F8" w:rsidRDefault="00993F9D" w:rsidP="00993F9D">
                  <w:pPr>
                    <w:jc w:val="center"/>
                    <w:rPr>
                      <w:rFonts w:ascii="National 2" w:hAnsi="National 2" w:cs="Arial"/>
                      <w:sz w:val="16"/>
                      <w:szCs w:val="16"/>
                    </w:rPr>
                  </w:pPr>
                  <w:r>
                    <w:rPr>
                      <w:rFonts w:ascii="National 2" w:hAnsi="National 2" w:cs="Arial"/>
                      <w:sz w:val="16"/>
                      <w:szCs w:val="16"/>
                    </w:rPr>
                    <w:t>14,900</w:t>
                  </w:r>
                </w:p>
              </w:tc>
              <w:tc>
                <w:tcPr>
                  <w:tcW w:w="826" w:type="dxa"/>
                  <w:shd w:val="clear" w:color="auto" w:fill="auto"/>
                  <w:vAlign w:val="bottom"/>
                </w:tcPr>
                <w:p w14:paraId="069E6E1A" w14:textId="77777777" w:rsidR="00993F9D" w:rsidRPr="002268F8" w:rsidRDefault="00993F9D" w:rsidP="00993F9D">
                  <w:pPr>
                    <w:jc w:val="center"/>
                    <w:rPr>
                      <w:rFonts w:ascii="National 2" w:hAnsi="National 2" w:cs="Calibri"/>
                      <w:color w:val="000000"/>
                      <w:sz w:val="18"/>
                      <w:szCs w:val="18"/>
                    </w:rPr>
                  </w:pPr>
                  <w:r>
                    <w:rPr>
                      <w:rFonts w:ascii="National 2" w:hAnsi="National 2" w:cs="Calibri"/>
                      <w:color w:val="000000"/>
                      <w:sz w:val="18"/>
                      <w:szCs w:val="18"/>
                    </w:rPr>
                    <w:t>1.1</w:t>
                  </w:r>
                </w:p>
              </w:tc>
            </w:tr>
            <w:tr w:rsidR="00993F9D" w:rsidRPr="002268F8" w14:paraId="2FEAFA97" w14:textId="77777777" w:rsidTr="00642A50">
              <w:trPr>
                <w:trHeight w:val="64"/>
              </w:trPr>
              <w:tc>
                <w:tcPr>
                  <w:tcW w:w="4277" w:type="dxa"/>
                  <w:vAlign w:val="bottom"/>
                </w:tcPr>
                <w:p w14:paraId="253E0C76" w14:textId="77777777" w:rsidR="00993F9D" w:rsidRPr="003D6D4C" w:rsidRDefault="00993F9D" w:rsidP="00993F9D">
                  <w:pPr>
                    <w:rPr>
                      <w:rFonts w:ascii="National 2" w:hAnsi="National 2" w:cs="Calibri"/>
                      <w:color w:val="000000"/>
                      <w:sz w:val="18"/>
                      <w:szCs w:val="18"/>
                    </w:rPr>
                  </w:pPr>
                  <w:r w:rsidRPr="002E79A1">
                    <w:rPr>
                      <w:rFonts w:ascii="National 2" w:hAnsi="National 2" w:cs="Calibri"/>
                      <w:color w:val="000000"/>
                      <w:sz w:val="18"/>
                      <w:szCs w:val="18"/>
                    </w:rPr>
                    <w:t>Advertising Services</w:t>
                  </w:r>
                </w:p>
              </w:tc>
              <w:tc>
                <w:tcPr>
                  <w:tcW w:w="992" w:type="dxa"/>
                  <w:vAlign w:val="bottom"/>
                </w:tcPr>
                <w:p w14:paraId="5870DFD1" w14:textId="77777777" w:rsidR="00993F9D" w:rsidRDefault="00993F9D" w:rsidP="00993F9D">
                  <w:pPr>
                    <w:jc w:val="center"/>
                    <w:rPr>
                      <w:rFonts w:ascii="National 2" w:hAnsi="National 2" w:cs="Arial"/>
                      <w:sz w:val="16"/>
                      <w:szCs w:val="16"/>
                    </w:rPr>
                  </w:pPr>
                  <w:r>
                    <w:rPr>
                      <w:rFonts w:ascii="National 2" w:hAnsi="National 2" w:cs="Arial"/>
                      <w:sz w:val="16"/>
                      <w:szCs w:val="16"/>
                    </w:rPr>
                    <w:t>4,000</w:t>
                  </w:r>
                </w:p>
              </w:tc>
              <w:tc>
                <w:tcPr>
                  <w:tcW w:w="826" w:type="dxa"/>
                  <w:shd w:val="clear" w:color="auto" w:fill="E2EFD9" w:themeFill="accent6" w:themeFillTint="33"/>
                  <w:vAlign w:val="bottom"/>
                </w:tcPr>
                <w:p w14:paraId="7D4735E1" w14:textId="77777777" w:rsidR="00993F9D" w:rsidRDefault="00993F9D" w:rsidP="00993F9D">
                  <w:pPr>
                    <w:jc w:val="center"/>
                    <w:rPr>
                      <w:rFonts w:ascii="National 2" w:hAnsi="National 2" w:cs="Calibri"/>
                      <w:color w:val="000000"/>
                      <w:sz w:val="18"/>
                      <w:szCs w:val="18"/>
                    </w:rPr>
                  </w:pPr>
                  <w:r>
                    <w:rPr>
                      <w:rFonts w:ascii="National 2" w:hAnsi="National 2" w:cs="Calibri"/>
                      <w:color w:val="000000"/>
                      <w:sz w:val="18"/>
                      <w:szCs w:val="18"/>
                    </w:rPr>
                    <w:t>2.0</w:t>
                  </w:r>
                </w:p>
              </w:tc>
            </w:tr>
          </w:tbl>
          <w:p w14:paraId="649C4473" w14:textId="77777777" w:rsidR="00993F9D" w:rsidRPr="00D96A0D" w:rsidRDefault="00993F9D" w:rsidP="00993F9D">
            <w:pPr>
              <w:rPr>
                <w:rFonts w:ascii="National 2" w:hAnsi="National 2" w:cs="Calibri"/>
                <w:sz w:val="10"/>
                <w:szCs w:val="10"/>
                <w:highlight w:val="yellow"/>
              </w:rPr>
            </w:pPr>
          </w:p>
          <w:tbl>
            <w:tblPr>
              <w:tblStyle w:val="TableGrid"/>
              <w:tblW w:w="6095" w:type="dxa"/>
              <w:tblLayout w:type="fixed"/>
              <w:tblLook w:val="04A0" w:firstRow="1" w:lastRow="0" w:firstColumn="1" w:lastColumn="0" w:noHBand="0" w:noVBand="1"/>
            </w:tblPr>
            <w:tblGrid>
              <w:gridCol w:w="4277"/>
              <w:gridCol w:w="992"/>
              <w:gridCol w:w="826"/>
            </w:tblGrid>
            <w:tr w:rsidR="00993F9D" w:rsidRPr="00D17D0B" w14:paraId="6CEDFF6D" w14:textId="77777777" w:rsidTr="00642A50">
              <w:tc>
                <w:tcPr>
                  <w:tcW w:w="4277" w:type="dxa"/>
                  <w:vAlign w:val="bottom"/>
                </w:tcPr>
                <w:p w14:paraId="59FAE88F" w14:textId="77777777" w:rsidR="00993F9D" w:rsidRPr="00306DE5" w:rsidRDefault="00993F9D" w:rsidP="00993F9D">
                  <w:pPr>
                    <w:rPr>
                      <w:rFonts w:ascii="National 2" w:hAnsi="National 2" w:cs="Calibri"/>
                      <w:b/>
                      <w:bCs/>
                      <w:color w:val="1B384F"/>
                      <w:sz w:val="18"/>
                      <w:szCs w:val="18"/>
                    </w:rPr>
                  </w:pPr>
                  <w:r w:rsidRPr="00306DE5">
                    <w:rPr>
                      <w:rFonts w:ascii="National 2" w:hAnsi="National 2" w:cs="Calibri"/>
                      <w:b/>
                      <w:bCs/>
                      <w:color w:val="1B384F"/>
                      <w:sz w:val="18"/>
                      <w:szCs w:val="18"/>
                    </w:rPr>
                    <w:t>Healthcare &amp; Social Assistance</w:t>
                  </w:r>
                </w:p>
              </w:tc>
              <w:tc>
                <w:tcPr>
                  <w:tcW w:w="992" w:type="dxa"/>
                  <w:vAlign w:val="bottom"/>
                </w:tcPr>
                <w:p w14:paraId="09B8AEAA" w14:textId="77777777" w:rsidR="00993F9D" w:rsidRPr="00306DE5" w:rsidRDefault="00993F9D" w:rsidP="00993F9D">
                  <w:pPr>
                    <w:jc w:val="center"/>
                    <w:rPr>
                      <w:rFonts w:ascii="National 2" w:hAnsi="National 2"/>
                      <w:b/>
                      <w:bCs/>
                      <w:color w:val="1B384F"/>
                      <w:sz w:val="18"/>
                      <w:szCs w:val="18"/>
                    </w:rPr>
                  </w:pPr>
                  <w:r w:rsidRPr="00306DE5">
                    <w:rPr>
                      <w:rFonts w:ascii="National 2" w:hAnsi="National 2" w:cs="Calibri"/>
                      <w:b/>
                      <w:bCs/>
                      <w:color w:val="1B384F"/>
                      <w:sz w:val="18"/>
                      <w:szCs w:val="18"/>
                    </w:rPr>
                    <w:t>Jobs</w:t>
                  </w:r>
                </w:p>
              </w:tc>
              <w:tc>
                <w:tcPr>
                  <w:tcW w:w="826" w:type="dxa"/>
                  <w:vAlign w:val="bottom"/>
                </w:tcPr>
                <w:p w14:paraId="0D1154C7" w14:textId="77777777" w:rsidR="00993F9D" w:rsidRPr="00306DE5" w:rsidRDefault="00993F9D" w:rsidP="00993F9D">
                  <w:pPr>
                    <w:jc w:val="center"/>
                    <w:rPr>
                      <w:rFonts w:ascii="National 2" w:hAnsi="National 2" w:cs="Calibri"/>
                      <w:b/>
                      <w:bCs/>
                      <w:color w:val="1B384F"/>
                      <w:sz w:val="18"/>
                      <w:szCs w:val="18"/>
                    </w:rPr>
                  </w:pPr>
                  <w:r w:rsidRPr="00306DE5">
                    <w:rPr>
                      <w:rFonts w:ascii="National 2" w:hAnsi="National 2" w:cs="Calibri"/>
                      <w:b/>
                      <w:bCs/>
                      <w:color w:val="1B384F"/>
                      <w:sz w:val="18"/>
                      <w:szCs w:val="18"/>
                    </w:rPr>
                    <w:t>LQ</w:t>
                  </w:r>
                </w:p>
              </w:tc>
            </w:tr>
            <w:tr w:rsidR="00993F9D" w:rsidRPr="00D17D0B" w14:paraId="55047E12" w14:textId="77777777" w:rsidTr="00642A50">
              <w:tc>
                <w:tcPr>
                  <w:tcW w:w="4277" w:type="dxa"/>
                  <w:vAlign w:val="bottom"/>
                </w:tcPr>
                <w:p w14:paraId="016CEE17" w14:textId="77777777" w:rsidR="00993F9D" w:rsidRPr="00661DC2" w:rsidRDefault="00993F9D" w:rsidP="00993F9D">
                  <w:pPr>
                    <w:rPr>
                      <w:rFonts w:ascii="National 2" w:hAnsi="National 2" w:cs="Calibri"/>
                      <w:sz w:val="18"/>
                      <w:szCs w:val="18"/>
                    </w:rPr>
                  </w:pPr>
                  <w:r w:rsidRPr="00661DC2">
                    <w:rPr>
                      <w:rFonts w:ascii="National 2" w:hAnsi="National 2" w:cs="Calibri"/>
                      <w:color w:val="000000"/>
                      <w:sz w:val="18"/>
                      <w:szCs w:val="18"/>
                    </w:rPr>
                    <w:t>Hospitals</w:t>
                  </w:r>
                </w:p>
              </w:tc>
              <w:tc>
                <w:tcPr>
                  <w:tcW w:w="992" w:type="dxa"/>
                  <w:vAlign w:val="bottom"/>
                </w:tcPr>
                <w:p w14:paraId="4AF694A3" w14:textId="77777777" w:rsidR="00993F9D" w:rsidRPr="00661DC2" w:rsidRDefault="00993F9D" w:rsidP="00993F9D">
                  <w:pPr>
                    <w:jc w:val="center"/>
                    <w:rPr>
                      <w:rFonts w:ascii="National 2" w:hAnsi="National 2" w:cs="Arial"/>
                      <w:sz w:val="18"/>
                      <w:szCs w:val="18"/>
                    </w:rPr>
                  </w:pPr>
                  <w:r w:rsidRPr="00661DC2">
                    <w:rPr>
                      <w:rFonts w:ascii="National 2" w:hAnsi="National 2" w:cs="Arial"/>
                      <w:sz w:val="18"/>
                      <w:szCs w:val="18"/>
                    </w:rPr>
                    <w:t>31</w:t>
                  </w:r>
                  <w:r>
                    <w:rPr>
                      <w:rFonts w:ascii="National 2" w:hAnsi="National 2" w:cs="Arial"/>
                      <w:sz w:val="18"/>
                      <w:szCs w:val="18"/>
                    </w:rPr>
                    <w:t>,</w:t>
                  </w:r>
                  <w:r w:rsidRPr="00661DC2">
                    <w:rPr>
                      <w:rFonts w:ascii="National 2" w:hAnsi="National 2" w:cs="Arial"/>
                      <w:sz w:val="18"/>
                      <w:szCs w:val="18"/>
                    </w:rPr>
                    <w:t>200</w:t>
                  </w:r>
                </w:p>
              </w:tc>
              <w:tc>
                <w:tcPr>
                  <w:tcW w:w="826" w:type="dxa"/>
                  <w:shd w:val="clear" w:color="auto" w:fill="auto"/>
                  <w:vAlign w:val="bottom"/>
                </w:tcPr>
                <w:p w14:paraId="70B11877" w14:textId="77777777" w:rsidR="00993F9D" w:rsidRPr="00661DC2" w:rsidRDefault="00993F9D" w:rsidP="00993F9D">
                  <w:pPr>
                    <w:jc w:val="center"/>
                    <w:rPr>
                      <w:rFonts w:ascii="National 2" w:hAnsi="National 2" w:cs="Arial"/>
                      <w:sz w:val="18"/>
                      <w:szCs w:val="18"/>
                    </w:rPr>
                  </w:pPr>
                  <w:r w:rsidRPr="00661DC2">
                    <w:rPr>
                      <w:rFonts w:ascii="National 2" w:hAnsi="National 2" w:cs="Arial"/>
                      <w:sz w:val="18"/>
                      <w:szCs w:val="18"/>
                    </w:rPr>
                    <w:t>0.9</w:t>
                  </w:r>
                </w:p>
              </w:tc>
            </w:tr>
            <w:tr w:rsidR="00993F9D" w:rsidRPr="00D17D0B" w14:paraId="631F9914" w14:textId="77777777" w:rsidTr="00642A50">
              <w:tc>
                <w:tcPr>
                  <w:tcW w:w="4277" w:type="dxa"/>
                  <w:vAlign w:val="bottom"/>
                </w:tcPr>
                <w:p w14:paraId="286567A9" w14:textId="77777777" w:rsidR="00993F9D" w:rsidRPr="00661DC2" w:rsidRDefault="00993F9D" w:rsidP="00993F9D">
                  <w:pPr>
                    <w:rPr>
                      <w:rFonts w:ascii="National 2" w:hAnsi="National 2" w:cs="Calibri"/>
                      <w:sz w:val="18"/>
                      <w:szCs w:val="18"/>
                    </w:rPr>
                  </w:pPr>
                  <w:r>
                    <w:rPr>
                      <w:rFonts w:ascii="National 2" w:hAnsi="National 2" w:cs="Calibri"/>
                      <w:color w:val="000000"/>
                      <w:sz w:val="18"/>
                      <w:szCs w:val="18"/>
                    </w:rPr>
                    <w:t>Allied</w:t>
                  </w:r>
                  <w:r w:rsidRPr="00661DC2">
                    <w:rPr>
                      <w:rFonts w:ascii="National 2" w:hAnsi="National 2" w:cs="Calibri"/>
                      <w:color w:val="000000"/>
                      <w:sz w:val="18"/>
                      <w:szCs w:val="18"/>
                    </w:rPr>
                    <w:t xml:space="preserve"> Health</w:t>
                  </w:r>
                  <w:r>
                    <w:rPr>
                      <w:rFonts w:ascii="National 2" w:hAnsi="National 2" w:cs="Calibri"/>
                      <w:color w:val="000000"/>
                      <w:sz w:val="18"/>
                      <w:szCs w:val="18"/>
                    </w:rPr>
                    <w:t xml:space="preserve"> </w:t>
                  </w:r>
                  <w:r w:rsidRPr="00661DC2">
                    <w:rPr>
                      <w:rFonts w:ascii="National 2" w:hAnsi="National 2" w:cs="Calibri"/>
                      <w:color w:val="000000"/>
                      <w:sz w:val="18"/>
                      <w:szCs w:val="18"/>
                    </w:rPr>
                    <w:t>Services</w:t>
                  </w:r>
                </w:p>
              </w:tc>
              <w:tc>
                <w:tcPr>
                  <w:tcW w:w="992" w:type="dxa"/>
                  <w:vAlign w:val="bottom"/>
                </w:tcPr>
                <w:p w14:paraId="5546802E" w14:textId="77777777" w:rsidR="00993F9D" w:rsidRPr="00661DC2" w:rsidRDefault="00993F9D" w:rsidP="00993F9D">
                  <w:pPr>
                    <w:jc w:val="center"/>
                    <w:rPr>
                      <w:rFonts w:ascii="National 2" w:hAnsi="National 2" w:cs="Arial"/>
                      <w:sz w:val="18"/>
                      <w:szCs w:val="18"/>
                    </w:rPr>
                  </w:pPr>
                  <w:r>
                    <w:rPr>
                      <w:rFonts w:ascii="National 2" w:hAnsi="National 2" w:cs="Arial"/>
                      <w:sz w:val="18"/>
                      <w:szCs w:val="18"/>
                    </w:rPr>
                    <w:t>15,900</w:t>
                  </w:r>
                </w:p>
              </w:tc>
              <w:tc>
                <w:tcPr>
                  <w:tcW w:w="826" w:type="dxa"/>
                  <w:shd w:val="clear" w:color="auto" w:fill="auto"/>
                  <w:vAlign w:val="bottom"/>
                </w:tcPr>
                <w:p w14:paraId="0CB050FC" w14:textId="77777777" w:rsidR="00993F9D" w:rsidRPr="00661DC2" w:rsidRDefault="00993F9D" w:rsidP="00993F9D">
                  <w:pPr>
                    <w:jc w:val="center"/>
                    <w:rPr>
                      <w:rFonts w:ascii="National 2" w:hAnsi="National 2" w:cs="Arial"/>
                      <w:sz w:val="18"/>
                      <w:szCs w:val="18"/>
                    </w:rPr>
                  </w:pPr>
                  <w:r>
                    <w:rPr>
                      <w:rFonts w:ascii="National 2" w:hAnsi="National 2" w:cs="Arial"/>
                      <w:sz w:val="18"/>
                      <w:szCs w:val="18"/>
                    </w:rPr>
                    <w:t>1.0</w:t>
                  </w:r>
                </w:p>
              </w:tc>
            </w:tr>
            <w:tr w:rsidR="00993F9D" w:rsidRPr="00D17D0B" w14:paraId="6D8FB486" w14:textId="77777777" w:rsidTr="00642A50">
              <w:tc>
                <w:tcPr>
                  <w:tcW w:w="4277" w:type="dxa"/>
                  <w:vAlign w:val="bottom"/>
                </w:tcPr>
                <w:p w14:paraId="4E4083AF" w14:textId="77777777" w:rsidR="00993F9D" w:rsidRPr="00661DC2" w:rsidRDefault="00993F9D" w:rsidP="00993F9D">
                  <w:pPr>
                    <w:rPr>
                      <w:rFonts w:ascii="National 2" w:hAnsi="National 2" w:cs="Calibri"/>
                      <w:sz w:val="18"/>
                      <w:szCs w:val="18"/>
                    </w:rPr>
                  </w:pPr>
                  <w:r w:rsidRPr="00661DC2">
                    <w:rPr>
                      <w:rFonts w:ascii="National 2" w:hAnsi="National 2" w:cs="Calibri"/>
                      <w:color w:val="000000"/>
                      <w:sz w:val="18"/>
                      <w:szCs w:val="18"/>
                    </w:rPr>
                    <w:t>Residential Care Services</w:t>
                  </w:r>
                </w:p>
              </w:tc>
              <w:tc>
                <w:tcPr>
                  <w:tcW w:w="992" w:type="dxa"/>
                  <w:vAlign w:val="bottom"/>
                </w:tcPr>
                <w:p w14:paraId="1C08AE3D" w14:textId="77777777" w:rsidR="00993F9D" w:rsidRPr="00661DC2" w:rsidRDefault="00993F9D" w:rsidP="00993F9D">
                  <w:pPr>
                    <w:jc w:val="center"/>
                    <w:rPr>
                      <w:rFonts w:ascii="National 2" w:hAnsi="National 2" w:cs="Arial"/>
                      <w:sz w:val="18"/>
                      <w:szCs w:val="18"/>
                    </w:rPr>
                  </w:pPr>
                  <w:r w:rsidRPr="00661DC2">
                    <w:rPr>
                      <w:rFonts w:ascii="National 2" w:hAnsi="National 2" w:cs="Arial"/>
                      <w:sz w:val="18"/>
                      <w:szCs w:val="18"/>
                    </w:rPr>
                    <w:t>14</w:t>
                  </w:r>
                  <w:r>
                    <w:rPr>
                      <w:rFonts w:ascii="National 2" w:hAnsi="National 2" w:cs="Arial"/>
                      <w:sz w:val="18"/>
                      <w:szCs w:val="18"/>
                    </w:rPr>
                    <w:t>,</w:t>
                  </w:r>
                  <w:r w:rsidRPr="00661DC2">
                    <w:rPr>
                      <w:rFonts w:ascii="National 2" w:hAnsi="National 2" w:cs="Arial"/>
                      <w:sz w:val="18"/>
                      <w:szCs w:val="18"/>
                    </w:rPr>
                    <w:t>100</w:t>
                  </w:r>
                </w:p>
              </w:tc>
              <w:tc>
                <w:tcPr>
                  <w:tcW w:w="826" w:type="dxa"/>
                  <w:shd w:val="clear" w:color="auto" w:fill="auto"/>
                  <w:vAlign w:val="bottom"/>
                </w:tcPr>
                <w:p w14:paraId="14110F96" w14:textId="77777777" w:rsidR="00993F9D" w:rsidRPr="00661DC2" w:rsidRDefault="00993F9D" w:rsidP="00993F9D">
                  <w:pPr>
                    <w:jc w:val="center"/>
                    <w:rPr>
                      <w:rFonts w:ascii="National 2" w:hAnsi="National 2" w:cs="Arial"/>
                      <w:sz w:val="18"/>
                      <w:szCs w:val="18"/>
                    </w:rPr>
                  </w:pPr>
                  <w:r w:rsidRPr="00661DC2">
                    <w:rPr>
                      <w:rFonts w:ascii="National 2" w:hAnsi="National 2" w:cs="Arial"/>
                      <w:sz w:val="18"/>
                      <w:szCs w:val="18"/>
                    </w:rPr>
                    <w:t>0.7</w:t>
                  </w:r>
                </w:p>
              </w:tc>
            </w:tr>
            <w:tr w:rsidR="00993F9D" w:rsidRPr="00D17D0B" w14:paraId="679C7E5D" w14:textId="77777777" w:rsidTr="00642A50">
              <w:tc>
                <w:tcPr>
                  <w:tcW w:w="4277" w:type="dxa"/>
                  <w:vAlign w:val="bottom"/>
                </w:tcPr>
                <w:p w14:paraId="3D0D5A03" w14:textId="77777777" w:rsidR="00993F9D" w:rsidRPr="00661DC2" w:rsidRDefault="00993F9D" w:rsidP="00993F9D">
                  <w:pPr>
                    <w:rPr>
                      <w:rFonts w:ascii="National 2" w:hAnsi="National 2" w:cs="Calibri"/>
                      <w:color w:val="000000"/>
                      <w:sz w:val="18"/>
                      <w:szCs w:val="18"/>
                    </w:rPr>
                  </w:pPr>
                  <w:r>
                    <w:rPr>
                      <w:rFonts w:ascii="National 2" w:hAnsi="National 2" w:cs="Calibri"/>
                      <w:color w:val="000000"/>
                      <w:sz w:val="18"/>
                      <w:szCs w:val="18"/>
                    </w:rPr>
                    <w:t>Medical Services</w:t>
                  </w:r>
                </w:p>
              </w:tc>
              <w:tc>
                <w:tcPr>
                  <w:tcW w:w="992" w:type="dxa"/>
                  <w:vAlign w:val="bottom"/>
                </w:tcPr>
                <w:p w14:paraId="4442FD21" w14:textId="77777777" w:rsidR="00993F9D" w:rsidRPr="00661DC2" w:rsidRDefault="00993F9D" w:rsidP="00993F9D">
                  <w:pPr>
                    <w:jc w:val="center"/>
                    <w:rPr>
                      <w:rFonts w:ascii="National 2" w:hAnsi="National 2" w:cs="Arial"/>
                      <w:sz w:val="18"/>
                      <w:szCs w:val="18"/>
                    </w:rPr>
                  </w:pPr>
                  <w:r>
                    <w:rPr>
                      <w:rFonts w:ascii="National 2" w:hAnsi="National 2" w:cs="Arial"/>
                      <w:sz w:val="18"/>
                      <w:szCs w:val="18"/>
                    </w:rPr>
                    <w:t>6,600</w:t>
                  </w:r>
                </w:p>
              </w:tc>
              <w:tc>
                <w:tcPr>
                  <w:tcW w:w="826" w:type="dxa"/>
                  <w:shd w:val="clear" w:color="auto" w:fill="auto"/>
                  <w:vAlign w:val="bottom"/>
                </w:tcPr>
                <w:p w14:paraId="58F5C53C" w14:textId="77777777" w:rsidR="00993F9D" w:rsidRPr="00661DC2" w:rsidRDefault="00993F9D" w:rsidP="00993F9D">
                  <w:pPr>
                    <w:jc w:val="center"/>
                    <w:rPr>
                      <w:rFonts w:ascii="National 2" w:hAnsi="National 2" w:cs="Arial"/>
                      <w:sz w:val="18"/>
                      <w:szCs w:val="18"/>
                    </w:rPr>
                  </w:pPr>
                  <w:r>
                    <w:rPr>
                      <w:rFonts w:ascii="National 2" w:hAnsi="National 2" w:cs="Arial"/>
                      <w:sz w:val="18"/>
                      <w:szCs w:val="18"/>
                    </w:rPr>
                    <w:t>0.9</w:t>
                  </w:r>
                </w:p>
              </w:tc>
            </w:tr>
            <w:tr w:rsidR="00993F9D" w:rsidRPr="00D17D0B" w14:paraId="553629A7" w14:textId="77777777" w:rsidTr="00642A50">
              <w:tc>
                <w:tcPr>
                  <w:tcW w:w="4277" w:type="dxa"/>
                  <w:vAlign w:val="bottom"/>
                </w:tcPr>
                <w:p w14:paraId="79A8A161" w14:textId="77777777" w:rsidR="00993F9D" w:rsidRPr="00661DC2" w:rsidRDefault="00993F9D" w:rsidP="00993F9D">
                  <w:pPr>
                    <w:rPr>
                      <w:rFonts w:ascii="National 2" w:hAnsi="National 2" w:cs="Calibri"/>
                      <w:sz w:val="18"/>
                      <w:szCs w:val="18"/>
                    </w:rPr>
                  </w:pPr>
                  <w:r>
                    <w:rPr>
                      <w:rFonts w:ascii="National 2" w:hAnsi="National 2" w:cs="Calibri"/>
                      <w:color w:val="000000"/>
                      <w:sz w:val="18"/>
                      <w:szCs w:val="18"/>
                    </w:rPr>
                    <w:t xml:space="preserve">Other </w:t>
                  </w:r>
                  <w:r w:rsidRPr="00661DC2">
                    <w:rPr>
                      <w:rFonts w:ascii="National 2" w:hAnsi="National 2" w:cs="Calibri"/>
                      <w:color w:val="000000"/>
                      <w:sz w:val="18"/>
                      <w:szCs w:val="18"/>
                    </w:rPr>
                    <w:t>Social Assistance Services</w:t>
                  </w:r>
                </w:p>
              </w:tc>
              <w:tc>
                <w:tcPr>
                  <w:tcW w:w="992" w:type="dxa"/>
                  <w:vAlign w:val="bottom"/>
                </w:tcPr>
                <w:p w14:paraId="55440025" w14:textId="77777777" w:rsidR="00993F9D" w:rsidRPr="00661DC2" w:rsidRDefault="00993F9D" w:rsidP="00993F9D">
                  <w:pPr>
                    <w:jc w:val="center"/>
                    <w:rPr>
                      <w:rFonts w:ascii="National 2" w:hAnsi="National 2" w:cs="Arial"/>
                      <w:sz w:val="18"/>
                      <w:szCs w:val="18"/>
                    </w:rPr>
                  </w:pPr>
                  <w:r>
                    <w:rPr>
                      <w:rFonts w:ascii="National 2" w:hAnsi="National 2" w:cs="Arial"/>
                      <w:sz w:val="18"/>
                      <w:szCs w:val="18"/>
                    </w:rPr>
                    <w:t>6,600</w:t>
                  </w:r>
                </w:p>
              </w:tc>
              <w:tc>
                <w:tcPr>
                  <w:tcW w:w="826" w:type="dxa"/>
                  <w:shd w:val="clear" w:color="auto" w:fill="auto"/>
                  <w:vAlign w:val="bottom"/>
                </w:tcPr>
                <w:p w14:paraId="2CC679AA" w14:textId="77777777" w:rsidR="00993F9D" w:rsidRPr="00661DC2" w:rsidRDefault="00993F9D" w:rsidP="00993F9D">
                  <w:pPr>
                    <w:jc w:val="center"/>
                    <w:rPr>
                      <w:rFonts w:ascii="National 2" w:hAnsi="National 2" w:cs="Arial"/>
                      <w:sz w:val="18"/>
                      <w:szCs w:val="18"/>
                    </w:rPr>
                  </w:pPr>
                  <w:r>
                    <w:rPr>
                      <w:rFonts w:ascii="National 2" w:hAnsi="National 2" w:cs="Arial"/>
                      <w:sz w:val="18"/>
                      <w:szCs w:val="18"/>
                    </w:rPr>
                    <w:t>0.9</w:t>
                  </w:r>
                </w:p>
              </w:tc>
            </w:tr>
            <w:tr w:rsidR="00993F9D" w:rsidRPr="00D17D0B" w14:paraId="0EFFAF37" w14:textId="77777777" w:rsidTr="00642A50">
              <w:tc>
                <w:tcPr>
                  <w:tcW w:w="4277" w:type="dxa"/>
                  <w:vAlign w:val="bottom"/>
                </w:tcPr>
                <w:p w14:paraId="19E8BCAB" w14:textId="77777777" w:rsidR="00993F9D" w:rsidRDefault="00993F9D" w:rsidP="00993F9D">
                  <w:pPr>
                    <w:rPr>
                      <w:rFonts w:ascii="National 2" w:hAnsi="National 2" w:cs="Calibri"/>
                      <w:color w:val="000000"/>
                      <w:sz w:val="18"/>
                      <w:szCs w:val="18"/>
                    </w:rPr>
                  </w:pPr>
                  <w:r w:rsidRPr="00524A57">
                    <w:rPr>
                      <w:rFonts w:ascii="National 2" w:hAnsi="National 2" w:cs="Calibri"/>
                      <w:color w:val="000000"/>
                      <w:sz w:val="18"/>
                      <w:szCs w:val="18"/>
                    </w:rPr>
                    <w:t>Child Care Services</w:t>
                  </w:r>
                </w:p>
              </w:tc>
              <w:tc>
                <w:tcPr>
                  <w:tcW w:w="992" w:type="dxa"/>
                  <w:vAlign w:val="bottom"/>
                </w:tcPr>
                <w:p w14:paraId="109AAD29" w14:textId="77777777" w:rsidR="00993F9D" w:rsidRDefault="00993F9D" w:rsidP="00993F9D">
                  <w:pPr>
                    <w:jc w:val="center"/>
                    <w:rPr>
                      <w:rFonts w:ascii="National 2" w:hAnsi="National 2" w:cs="Arial"/>
                      <w:sz w:val="18"/>
                      <w:szCs w:val="18"/>
                    </w:rPr>
                  </w:pPr>
                  <w:r>
                    <w:rPr>
                      <w:rFonts w:ascii="National 2" w:hAnsi="National 2" w:cs="Arial"/>
                      <w:sz w:val="18"/>
                      <w:szCs w:val="18"/>
                    </w:rPr>
                    <w:t>5,800</w:t>
                  </w:r>
                </w:p>
              </w:tc>
              <w:tc>
                <w:tcPr>
                  <w:tcW w:w="826" w:type="dxa"/>
                  <w:shd w:val="clear" w:color="auto" w:fill="auto"/>
                  <w:vAlign w:val="bottom"/>
                </w:tcPr>
                <w:p w14:paraId="18F1CAD9" w14:textId="77777777" w:rsidR="00993F9D" w:rsidRDefault="00993F9D" w:rsidP="00993F9D">
                  <w:pPr>
                    <w:jc w:val="center"/>
                    <w:rPr>
                      <w:rFonts w:ascii="National 2" w:hAnsi="National 2" w:cs="Arial"/>
                      <w:sz w:val="18"/>
                      <w:szCs w:val="18"/>
                    </w:rPr>
                  </w:pPr>
                  <w:r>
                    <w:rPr>
                      <w:rFonts w:ascii="National 2" w:hAnsi="National 2" w:cs="Arial"/>
                      <w:sz w:val="18"/>
                      <w:szCs w:val="18"/>
                    </w:rPr>
                    <w:t>1.2</w:t>
                  </w:r>
                </w:p>
              </w:tc>
            </w:tr>
          </w:tbl>
          <w:p w14:paraId="04BA7509" w14:textId="77777777" w:rsidR="00993F9D" w:rsidRPr="00E87385" w:rsidRDefault="00993F9D" w:rsidP="00993F9D">
            <w:pPr>
              <w:spacing w:after="120"/>
              <w:rPr>
                <w:rFonts w:ascii="National 2" w:hAnsi="National 2"/>
                <w:b/>
                <w:bCs/>
                <w:color w:val="1B324F"/>
                <w:sz w:val="24"/>
                <w:szCs w:val="24"/>
              </w:rPr>
            </w:pPr>
          </w:p>
        </w:tc>
      </w:tr>
      <w:tr w:rsidR="00993F9D" w:rsidRPr="005F40F2" w14:paraId="3D1A635A" w14:textId="1E5657B8" w:rsidTr="00F86B96">
        <w:trPr>
          <w:trHeight w:val="4255"/>
        </w:trPr>
        <w:tc>
          <w:tcPr>
            <w:tcW w:w="8223" w:type="dxa"/>
          </w:tcPr>
          <w:p w14:paraId="5C3A04A2" w14:textId="04B13E4F" w:rsidR="00993F9D" w:rsidRPr="00306DE5" w:rsidRDefault="00993F9D" w:rsidP="00993F9D">
            <w:pPr>
              <w:spacing w:before="120"/>
              <w:rPr>
                <w:rFonts w:ascii="National 2" w:hAnsi="National 2"/>
                <w:b/>
                <w:bCs/>
                <w:color w:val="1B384F"/>
                <w:sz w:val="24"/>
                <w:szCs w:val="24"/>
              </w:rPr>
            </w:pPr>
            <w:r w:rsidRPr="00306DE5">
              <w:rPr>
                <w:rFonts w:ascii="National 2" w:hAnsi="National 2"/>
                <w:b/>
                <w:bCs/>
                <w:color w:val="1B384F"/>
                <w:sz w:val="24"/>
                <w:szCs w:val="24"/>
              </w:rPr>
              <w:t xml:space="preserve">Jobs and </w:t>
            </w:r>
            <w:r w:rsidR="009126B1" w:rsidRPr="00306DE5">
              <w:rPr>
                <w:rFonts w:ascii="National 2" w:hAnsi="National 2"/>
                <w:b/>
                <w:bCs/>
                <w:color w:val="1B384F"/>
                <w:sz w:val="24"/>
                <w:szCs w:val="24"/>
              </w:rPr>
              <w:t>B</w:t>
            </w:r>
            <w:r w:rsidRPr="00306DE5">
              <w:rPr>
                <w:rFonts w:ascii="National 2" w:hAnsi="National 2"/>
                <w:b/>
                <w:bCs/>
                <w:color w:val="1B384F"/>
                <w:sz w:val="24"/>
                <w:szCs w:val="24"/>
              </w:rPr>
              <w:t xml:space="preserve">usiness </w:t>
            </w:r>
            <w:r w:rsidR="009126B1" w:rsidRPr="00306DE5">
              <w:rPr>
                <w:rFonts w:ascii="National 2" w:hAnsi="National 2"/>
                <w:b/>
                <w:bCs/>
                <w:color w:val="1B384F"/>
                <w:sz w:val="24"/>
                <w:szCs w:val="24"/>
              </w:rPr>
              <w:t>N</w:t>
            </w:r>
            <w:r w:rsidRPr="00306DE5">
              <w:rPr>
                <w:rFonts w:ascii="National 2" w:hAnsi="National 2"/>
                <w:b/>
                <w:bCs/>
                <w:color w:val="1B384F"/>
                <w:sz w:val="24"/>
                <w:szCs w:val="24"/>
              </w:rPr>
              <w:t>umbers</w:t>
            </w:r>
          </w:p>
          <w:p w14:paraId="1CF58470" w14:textId="2195D6EE" w:rsidR="00993F9D" w:rsidRPr="005F40F2" w:rsidRDefault="00993F9D" w:rsidP="00993F9D">
            <w:pPr>
              <w:spacing w:before="120"/>
              <w:rPr>
                <w:rFonts w:ascii="National 2" w:hAnsi="National 2"/>
                <w:sz w:val="18"/>
                <w:szCs w:val="18"/>
              </w:rPr>
            </w:pPr>
            <w:r>
              <w:rPr>
                <w:noProof/>
              </w:rPr>
              <w:drawing>
                <wp:inline distT="0" distB="0" distL="0" distR="0" wp14:anchorId="39C1C3FA" wp14:editId="4759FC72">
                  <wp:extent cx="4895850" cy="998855"/>
                  <wp:effectExtent l="0" t="0" r="0" b="0"/>
                  <wp:docPr id="9" name="Chart 9">
                    <a:extLst xmlns:a="http://schemas.openxmlformats.org/drawingml/2006/main">
                      <a:ext uri="{FF2B5EF4-FFF2-40B4-BE49-F238E27FC236}">
                        <a16:creationId xmlns:a16="http://schemas.microsoft.com/office/drawing/2014/main" id="{76922B21-CDA5-4933-B37F-4A495B73B1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rPr>
              <w:t xml:space="preserve"> </w:t>
            </w:r>
            <w:r>
              <w:rPr>
                <w:noProof/>
              </w:rPr>
              <w:drawing>
                <wp:inline distT="0" distB="0" distL="0" distR="0" wp14:anchorId="4E292B40" wp14:editId="7AA39688">
                  <wp:extent cx="4857750" cy="1116330"/>
                  <wp:effectExtent l="0" t="0" r="0" b="7620"/>
                  <wp:docPr id="16" name="Chart 16">
                    <a:extLst xmlns:a="http://schemas.openxmlformats.org/drawingml/2006/main">
                      <a:ext uri="{FF2B5EF4-FFF2-40B4-BE49-F238E27FC236}">
                        <a16:creationId xmlns:a16="http://schemas.microsoft.com/office/drawing/2014/main" id="{ACB614E5-630B-4448-8746-61DEEC0810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8646" w:type="dxa"/>
          </w:tcPr>
          <w:p w14:paraId="6739D32D" w14:textId="25453788" w:rsidR="00993F9D" w:rsidRPr="00306DE5" w:rsidRDefault="00993F9D" w:rsidP="00993F9D">
            <w:pPr>
              <w:spacing w:after="120"/>
              <w:rPr>
                <w:rFonts w:ascii="National 2" w:hAnsi="National 2"/>
                <w:b/>
                <w:bCs/>
                <w:color w:val="1B384F"/>
                <w:sz w:val="24"/>
                <w:szCs w:val="24"/>
              </w:rPr>
            </w:pPr>
            <w:r w:rsidRPr="00306DE5">
              <w:rPr>
                <w:rFonts w:ascii="National 2" w:hAnsi="National 2"/>
                <w:b/>
                <w:bCs/>
                <w:color w:val="1B384F"/>
                <w:sz w:val="24"/>
                <w:szCs w:val="24"/>
              </w:rPr>
              <w:t>Employment Growth and Decline</w:t>
            </w:r>
          </w:p>
          <w:tbl>
            <w:tblPr>
              <w:tblStyle w:val="TableGrid"/>
              <w:tblW w:w="8418" w:type="dxa"/>
              <w:tblLayout w:type="fixed"/>
              <w:tblLook w:val="04A0" w:firstRow="1" w:lastRow="0" w:firstColumn="1" w:lastColumn="0" w:noHBand="0" w:noVBand="1"/>
            </w:tblPr>
            <w:tblGrid>
              <w:gridCol w:w="3315"/>
              <w:gridCol w:w="1701"/>
              <w:gridCol w:w="1134"/>
              <w:gridCol w:w="1134"/>
              <w:gridCol w:w="1134"/>
            </w:tblGrid>
            <w:tr w:rsidR="00306DE5" w:rsidRPr="00306DE5" w14:paraId="0B9A29A9" w14:textId="77777777" w:rsidTr="00D51BCA">
              <w:tc>
                <w:tcPr>
                  <w:tcW w:w="3315" w:type="dxa"/>
                  <w:vAlign w:val="center"/>
                </w:tcPr>
                <w:p w14:paraId="3067519F" w14:textId="77777777" w:rsidR="00993F9D" w:rsidRPr="00306DE5" w:rsidRDefault="00993F9D" w:rsidP="00993F9D">
                  <w:pPr>
                    <w:rPr>
                      <w:rFonts w:ascii="National 2" w:hAnsi="National 2"/>
                      <w:color w:val="1B384F"/>
                      <w:sz w:val="20"/>
                      <w:szCs w:val="20"/>
                    </w:rPr>
                  </w:pPr>
                  <w:r w:rsidRPr="00306DE5">
                    <w:rPr>
                      <w:rFonts w:ascii="National 2" w:hAnsi="National 2" w:cs="Calibri"/>
                      <w:b/>
                      <w:bCs/>
                      <w:color w:val="1B384F"/>
                      <w:sz w:val="18"/>
                      <w:szCs w:val="18"/>
                    </w:rPr>
                    <w:t>Sector</w:t>
                  </w:r>
                </w:p>
              </w:tc>
              <w:tc>
                <w:tcPr>
                  <w:tcW w:w="1701" w:type="dxa"/>
                  <w:vAlign w:val="center"/>
                </w:tcPr>
                <w:p w14:paraId="06B3064D" w14:textId="1494FA99" w:rsidR="00993F9D" w:rsidRPr="00306DE5" w:rsidRDefault="00993F9D" w:rsidP="00993F9D">
                  <w:pPr>
                    <w:jc w:val="center"/>
                    <w:rPr>
                      <w:rFonts w:ascii="National 2" w:hAnsi="National 2"/>
                      <w:b/>
                      <w:bCs/>
                      <w:color w:val="1B384F"/>
                      <w:sz w:val="20"/>
                      <w:szCs w:val="20"/>
                    </w:rPr>
                  </w:pPr>
                  <w:r w:rsidRPr="00306DE5">
                    <w:rPr>
                      <w:rFonts w:ascii="National 2" w:hAnsi="National 2" w:cs="Calibri"/>
                      <w:b/>
                      <w:bCs/>
                      <w:color w:val="1B384F"/>
                      <w:sz w:val="18"/>
                      <w:szCs w:val="18"/>
                    </w:rPr>
                    <w:t>Job growth 2012-2022</w:t>
                  </w:r>
                </w:p>
              </w:tc>
              <w:tc>
                <w:tcPr>
                  <w:tcW w:w="1134" w:type="dxa"/>
                </w:tcPr>
                <w:p w14:paraId="1AEB1E85" w14:textId="4B75D387" w:rsidR="00993F9D" w:rsidRPr="00306DE5" w:rsidRDefault="00993F9D" w:rsidP="00993F9D">
                  <w:pPr>
                    <w:jc w:val="center"/>
                    <w:rPr>
                      <w:rFonts w:ascii="National 2" w:hAnsi="National 2" w:cs="Calibri"/>
                      <w:b/>
                      <w:bCs/>
                      <w:color w:val="1B384F"/>
                      <w:sz w:val="18"/>
                      <w:szCs w:val="18"/>
                    </w:rPr>
                  </w:pPr>
                  <w:r w:rsidRPr="00306DE5">
                    <w:rPr>
                      <w:rFonts w:ascii="National 2" w:hAnsi="National 2" w:cs="Calibri"/>
                      <w:b/>
                      <w:bCs/>
                      <w:color w:val="1B384F"/>
                      <w:sz w:val="18"/>
                      <w:szCs w:val="18"/>
                    </w:rPr>
                    <w:t>Jobs (2022)</w:t>
                  </w:r>
                </w:p>
              </w:tc>
              <w:tc>
                <w:tcPr>
                  <w:tcW w:w="1134" w:type="dxa"/>
                  <w:vAlign w:val="center"/>
                </w:tcPr>
                <w:p w14:paraId="1D055AAB" w14:textId="230F3EDB" w:rsidR="00993F9D" w:rsidRPr="00306DE5" w:rsidRDefault="00993F9D" w:rsidP="00993F9D">
                  <w:pPr>
                    <w:jc w:val="center"/>
                    <w:rPr>
                      <w:rFonts w:ascii="National 2" w:hAnsi="National 2"/>
                      <w:b/>
                      <w:bCs/>
                      <w:color w:val="1B384F"/>
                      <w:sz w:val="18"/>
                      <w:szCs w:val="18"/>
                    </w:rPr>
                  </w:pPr>
                  <w:r w:rsidRPr="00306DE5">
                    <w:rPr>
                      <w:rFonts w:ascii="National 2" w:hAnsi="National 2" w:cs="Calibri"/>
                      <w:b/>
                      <w:bCs/>
                      <w:color w:val="1B384F"/>
                      <w:sz w:val="18"/>
                      <w:szCs w:val="18"/>
                    </w:rPr>
                    <w:t>Auckland Growth</w:t>
                  </w:r>
                </w:p>
              </w:tc>
              <w:tc>
                <w:tcPr>
                  <w:tcW w:w="1134" w:type="dxa"/>
                  <w:vAlign w:val="center"/>
                </w:tcPr>
                <w:p w14:paraId="7174096A" w14:textId="77777777" w:rsidR="00993F9D" w:rsidRPr="00306DE5" w:rsidRDefault="00993F9D" w:rsidP="00993F9D">
                  <w:pPr>
                    <w:jc w:val="center"/>
                    <w:rPr>
                      <w:rFonts w:ascii="National 2" w:hAnsi="National 2"/>
                      <w:b/>
                      <w:bCs/>
                      <w:color w:val="1B384F"/>
                      <w:sz w:val="18"/>
                      <w:szCs w:val="18"/>
                    </w:rPr>
                  </w:pPr>
                  <w:r w:rsidRPr="00306DE5">
                    <w:rPr>
                      <w:rFonts w:ascii="National 2" w:hAnsi="National 2" w:cs="Calibri"/>
                      <w:b/>
                      <w:bCs/>
                      <w:color w:val="1B384F"/>
                      <w:sz w:val="18"/>
                      <w:szCs w:val="18"/>
                    </w:rPr>
                    <w:t>NZ Growth</w:t>
                  </w:r>
                </w:p>
              </w:tc>
            </w:tr>
            <w:tr w:rsidR="00993F9D" w:rsidRPr="00D17D0B" w14:paraId="64F4036E" w14:textId="77777777" w:rsidTr="00D51BCA">
              <w:tc>
                <w:tcPr>
                  <w:tcW w:w="3315" w:type="dxa"/>
                  <w:shd w:val="clear" w:color="auto" w:fill="E2EFD9" w:themeFill="accent6" w:themeFillTint="33"/>
                  <w:vAlign w:val="bottom"/>
                </w:tcPr>
                <w:p w14:paraId="343CFF81" w14:textId="77777777" w:rsidR="00993F9D" w:rsidRPr="00F90AAA" w:rsidRDefault="00993F9D" w:rsidP="00993F9D">
                  <w:pPr>
                    <w:rPr>
                      <w:rFonts w:ascii="National 2" w:hAnsi="National 2" w:cs="Calibri"/>
                      <w:color w:val="1B324F"/>
                      <w:sz w:val="18"/>
                      <w:szCs w:val="18"/>
                      <w:highlight w:val="yellow"/>
                    </w:rPr>
                  </w:pPr>
                  <w:r w:rsidRPr="00F90AAA">
                    <w:rPr>
                      <w:rFonts w:ascii="National 2" w:hAnsi="National 2" w:cs="Calibri"/>
                      <w:color w:val="000000"/>
                      <w:sz w:val="18"/>
                      <w:szCs w:val="18"/>
                    </w:rPr>
                    <w:t>Construction</w:t>
                  </w:r>
                </w:p>
              </w:tc>
              <w:tc>
                <w:tcPr>
                  <w:tcW w:w="1701" w:type="dxa"/>
                  <w:shd w:val="clear" w:color="auto" w:fill="E2EFD9" w:themeFill="accent6" w:themeFillTint="33"/>
                  <w:vAlign w:val="bottom"/>
                </w:tcPr>
                <w:p w14:paraId="2322B9CD" w14:textId="1DE22212" w:rsidR="00993F9D" w:rsidRPr="00F90AAA" w:rsidRDefault="00993F9D" w:rsidP="00993F9D">
                  <w:pPr>
                    <w:jc w:val="center"/>
                    <w:rPr>
                      <w:rFonts w:ascii="National 2" w:hAnsi="National 2" w:cs="Calibri"/>
                      <w:color w:val="1B324F"/>
                      <w:sz w:val="18"/>
                      <w:szCs w:val="18"/>
                      <w:highlight w:val="yellow"/>
                    </w:rPr>
                  </w:pPr>
                  <w:r w:rsidRPr="00F90AAA">
                    <w:rPr>
                      <w:rFonts w:ascii="National 2" w:hAnsi="National 2" w:cs="Calibri"/>
                      <w:color w:val="000000"/>
                      <w:sz w:val="18"/>
                      <w:szCs w:val="18"/>
                    </w:rPr>
                    <w:t>38</w:t>
                  </w:r>
                  <w:r>
                    <w:rPr>
                      <w:rFonts w:ascii="National 2" w:hAnsi="National 2" w:cs="Calibri"/>
                      <w:color w:val="000000"/>
                      <w:sz w:val="18"/>
                      <w:szCs w:val="18"/>
                    </w:rPr>
                    <w:t>,</w:t>
                  </w:r>
                  <w:r w:rsidRPr="00F90AAA">
                    <w:rPr>
                      <w:rFonts w:ascii="National 2" w:hAnsi="National 2" w:cs="Calibri"/>
                      <w:color w:val="000000"/>
                      <w:sz w:val="18"/>
                      <w:szCs w:val="18"/>
                    </w:rPr>
                    <w:t>000</w:t>
                  </w:r>
                </w:p>
              </w:tc>
              <w:tc>
                <w:tcPr>
                  <w:tcW w:w="1134" w:type="dxa"/>
                  <w:shd w:val="clear" w:color="auto" w:fill="E2EFD9" w:themeFill="accent6" w:themeFillTint="33"/>
                </w:tcPr>
                <w:p w14:paraId="24A3ABFD" w14:textId="0240B7C4" w:rsidR="00993F9D" w:rsidRPr="00F90AAA" w:rsidRDefault="00993F9D" w:rsidP="00993F9D">
                  <w:pPr>
                    <w:jc w:val="center"/>
                    <w:rPr>
                      <w:rFonts w:ascii="National 2" w:hAnsi="National 2" w:cs="Calibri"/>
                      <w:color w:val="000000"/>
                      <w:sz w:val="18"/>
                      <w:szCs w:val="18"/>
                    </w:rPr>
                  </w:pPr>
                  <w:r>
                    <w:rPr>
                      <w:rFonts w:ascii="National 2" w:hAnsi="National 2" w:cs="Calibri"/>
                      <w:color w:val="000000"/>
                      <w:sz w:val="18"/>
                      <w:szCs w:val="18"/>
                    </w:rPr>
                    <w:t>71,700</w:t>
                  </w:r>
                </w:p>
              </w:tc>
              <w:tc>
                <w:tcPr>
                  <w:tcW w:w="1134" w:type="dxa"/>
                  <w:shd w:val="clear" w:color="auto" w:fill="E2EFD9" w:themeFill="accent6" w:themeFillTint="33"/>
                  <w:vAlign w:val="bottom"/>
                </w:tcPr>
                <w:p w14:paraId="063EC152" w14:textId="5B4FEF7E" w:rsidR="00993F9D" w:rsidRPr="00F90AAA" w:rsidRDefault="00993F9D" w:rsidP="00993F9D">
                  <w:pPr>
                    <w:jc w:val="center"/>
                    <w:rPr>
                      <w:rFonts w:ascii="National 2" w:hAnsi="National 2" w:cs="Calibri"/>
                      <w:color w:val="1B324F"/>
                      <w:sz w:val="18"/>
                      <w:szCs w:val="18"/>
                      <w:highlight w:val="yellow"/>
                    </w:rPr>
                  </w:pPr>
                  <w:r w:rsidRPr="00F90AAA">
                    <w:rPr>
                      <w:rFonts w:ascii="National 2" w:hAnsi="National 2" w:cs="Calibri"/>
                      <w:color w:val="000000"/>
                      <w:sz w:val="18"/>
                      <w:szCs w:val="18"/>
                    </w:rPr>
                    <w:t>113%</w:t>
                  </w:r>
                </w:p>
              </w:tc>
              <w:tc>
                <w:tcPr>
                  <w:tcW w:w="1134" w:type="dxa"/>
                  <w:shd w:val="clear" w:color="auto" w:fill="E2EFD9" w:themeFill="accent6" w:themeFillTint="33"/>
                  <w:vAlign w:val="bottom"/>
                </w:tcPr>
                <w:p w14:paraId="308B2415" w14:textId="77777777" w:rsidR="00993F9D" w:rsidRPr="00F90AAA" w:rsidRDefault="00993F9D" w:rsidP="00993F9D">
                  <w:pPr>
                    <w:jc w:val="center"/>
                    <w:rPr>
                      <w:rFonts w:ascii="National 2" w:hAnsi="National 2" w:cs="Calibri"/>
                      <w:color w:val="1B324F"/>
                      <w:sz w:val="18"/>
                      <w:szCs w:val="18"/>
                      <w:highlight w:val="yellow"/>
                    </w:rPr>
                  </w:pPr>
                  <w:r w:rsidRPr="00F90AAA">
                    <w:rPr>
                      <w:rFonts w:ascii="National 2" w:hAnsi="National 2" w:cs="Calibri"/>
                      <w:color w:val="000000"/>
                      <w:sz w:val="18"/>
                      <w:szCs w:val="18"/>
                    </w:rPr>
                    <w:t>77%</w:t>
                  </w:r>
                </w:p>
              </w:tc>
            </w:tr>
            <w:tr w:rsidR="00993F9D" w:rsidRPr="00D17D0B" w14:paraId="41DA144A" w14:textId="77777777" w:rsidTr="00D51BCA">
              <w:tc>
                <w:tcPr>
                  <w:tcW w:w="3315" w:type="dxa"/>
                  <w:shd w:val="clear" w:color="auto" w:fill="E2EFD9" w:themeFill="accent6" w:themeFillTint="33"/>
                  <w:vAlign w:val="bottom"/>
                </w:tcPr>
                <w:p w14:paraId="00348FF2" w14:textId="77777777" w:rsidR="00993F9D" w:rsidRPr="00F90AAA" w:rsidRDefault="00993F9D" w:rsidP="00993F9D">
                  <w:pPr>
                    <w:rPr>
                      <w:rFonts w:ascii="National 2" w:hAnsi="National 2" w:cs="Calibri"/>
                      <w:color w:val="1B324F"/>
                      <w:sz w:val="18"/>
                      <w:szCs w:val="18"/>
                      <w:highlight w:val="yellow"/>
                    </w:rPr>
                  </w:pPr>
                  <w:r w:rsidRPr="00F90AAA">
                    <w:rPr>
                      <w:rFonts w:ascii="National 2" w:hAnsi="National 2" w:cs="Calibri"/>
                      <w:color w:val="000000"/>
                      <w:sz w:val="18"/>
                      <w:szCs w:val="18"/>
                    </w:rPr>
                    <w:t>Prof, Scientific &amp; Technical Service</w:t>
                  </w:r>
                  <w:r>
                    <w:rPr>
                      <w:rFonts w:ascii="National 2" w:hAnsi="National 2" w:cs="Calibri"/>
                      <w:color w:val="000000"/>
                      <w:sz w:val="18"/>
                      <w:szCs w:val="18"/>
                    </w:rPr>
                    <w:t>s</w:t>
                  </w:r>
                </w:p>
              </w:tc>
              <w:tc>
                <w:tcPr>
                  <w:tcW w:w="1701" w:type="dxa"/>
                  <w:shd w:val="clear" w:color="auto" w:fill="E2EFD9" w:themeFill="accent6" w:themeFillTint="33"/>
                  <w:vAlign w:val="bottom"/>
                </w:tcPr>
                <w:p w14:paraId="7B82E97D" w14:textId="7951469B" w:rsidR="00993F9D" w:rsidRPr="00F90AAA" w:rsidRDefault="00993F9D" w:rsidP="00993F9D">
                  <w:pPr>
                    <w:jc w:val="center"/>
                    <w:rPr>
                      <w:rFonts w:ascii="National 2" w:hAnsi="National 2" w:cs="Calibri"/>
                      <w:color w:val="1B324F"/>
                      <w:sz w:val="18"/>
                      <w:szCs w:val="18"/>
                      <w:highlight w:val="yellow"/>
                    </w:rPr>
                  </w:pPr>
                  <w:r w:rsidRPr="00F90AAA">
                    <w:rPr>
                      <w:rFonts w:ascii="National 2" w:hAnsi="National 2" w:cs="Calibri"/>
                      <w:color w:val="000000"/>
                      <w:sz w:val="18"/>
                      <w:szCs w:val="18"/>
                    </w:rPr>
                    <w:t>27</w:t>
                  </w:r>
                  <w:r>
                    <w:rPr>
                      <w:rFonts w:ascii="National 2" w:hAnsi="National 2" w:cs="Calibri"/>
                      <w:color w:val="000000"/>
                      <w:sz w:val="18"/>
                      <w:szCs w:val="18"/>
                    </w:rPr>
                    <w:t>,</w:t>
                  </w:r>
                  <w:r w:rsidRPr="00F90AAA">
                    <w:rPr>
                      <w:rFonts w:ascii="National 2" w:hAnsi="National 2" w:cs="Calibri"/>
                      <w:color w:val="000000"/>
                      <w:sz w:val="18"/>
                      <w:szCs w:val="18"/>
                    </w:rPr>
                    <w:t>500</w:t>
                  </w:r>
                </w:p>
              </w:tc>
              <w:tc>
                <w:tcPr>
                  <w:tcW w:w="1134" w:type="dxa"/>
                  <w:shd w:val="clear" w:color="auto" w:fill="E2EFD9" w:themeFill="accent6" w:themeFillTint="33"/>
                </w:tcPr>
                <w:p w14:paraId="58A6B085" w14:textId="07D685E4" w:rsidR="00993F9D" w:rsidRPr="00F90AAA" w:rsidRDefault="00993F9D" w:rsidP="00993F9D">
                  <w:pPr>
                    <w:jc w:val="center"/>
                    <w:rPr>
                      <w:rFonts w:ascii="National 2" w:hAnsi="National 2" w:cs="Calibri"/>
                      <w:color w:val="000000"/>
                      <w:sz w:val="18"/>
                      <w:szCs w:val="18"/>
                    </w:rPr>
                  </w:pPr>
                  <w:r>
                    <w:rPr>
                      <w:rFonts w:ascii="National 2" w:hAnsi="National 2" w:cs="Calibri"/>
                      <w:color w:val="000000"/>
                      <w:sz w:val="18"/>
                      <w:szCs w:val="18"/>
                    </w:rPr>
                    <w:t>92,100</w:t>
                  </w:r>
                </w:p>
              </w:tc>
              <w:tc>
                <w:tcPr>
                  <w:tcW w:w="1134" w:type="dxa"/>
                  <w:shd w:val="clear" w:color="auto" w:fill="E2EFD9" w:themeFill="accent6" w:themeFillTint="33"/>
                  <w:vAlign w:val="bottom"/>
                </w:tcPr>
                <w:p w14:paraId="6844518D" w14:textId="490B7C27" w:rsidR="00993F9D" w:rsidRPr="00F90AAA" w:rsidRDefault="00993F9D" w:rsidP="00993F9D">
                  <w:pPr>
                    <w:jc w:val="center"/>
                    <w:rPr>
                      <w:rFonts w:ascii="National 2" w:hAnsi="National 2" w:cs="Calibri"/>
                      <w:color w:val="1B324F"/>
                      <w:sz w:val="18"/>
                      <w:szCs w:val="18"/>
                      <w:highlight w:val="yellow"/>
                    </w:rPr>
                  </w:pPr>
                  <w:r w:rsidRPr="00F90AAA">
                    <w:rPr>
                      <w:rFonts w:ascii="National 2" w:hAnsi="National 2" w:cs="Calibri"/>
                      <w:color w:val="000000"/>
                      <w:sz w:val="18"/>
                      <w:szCs w:val="18"/>
                    </w:rPr>
                    <w:t>43%</w:t>
                  </w:r>
                </w:p>
              </w:tc>
              <w:tc>
                <w:tcPr>
                  <w:tcW w:w="1134" w:type="dxa"/>
                  <w:shd w:val="clear" w:color="auto" w:fill="E2EFD9" w:themeFill="accent6" w:themeFillTint="33"/>
                  <w:vAlign w:val="bottom"/>
                </w:tcPr>
                <w:p w14:paraId="1FF98117" w14:textId="77777777" w:rsidR="00993F9D" w:rsidRPr="00F90AAA" w:rsidRDefault="00993F9D" w:rsidP="00993F9D">
                  <w:pPr>
                    <w:jc w:val="center"/>
                    <w:rPr>
                      <w:rFonts w:ascii="National 2" w:hAnsi="National 2" w:cs="Calibri"/>
                      <w:color w:val="1B324F"/>
                      <w:sz w:val="18"/>
                      <w:szCs w:val="18"/>
                      <w:highlight w:val="yellow"/>
                    </w:rPr>
                  </w:pPr>
                  <w:r w:rsidRPr="00F90AAA">
                    <w:rPr>
                      <w:rFonts w:ascii="National 2" w:hAnsi="National 2" w:cs="Calibri"/>
                      <w:color w:val="000000"/>
                      <w:sz w:val="18"/>
                      <w:szCs w:val="18"/>
                    </w:rPr>
                    <w:t>39%</w:t>
                  </w:r>
                </w:p>
              </w:tc>
            </w:tr>
            <w:tr w:rsidR="00993F9D" w:rsidRPr="00D17D0B" w14:paraId="551DE565" w14:textId="77777777" w:rsidTr="00D51BCA">
              <w:tc>
                <w:tcPr>
                  <w:tcW w:w="3315" w:type="dxa"/>
                  <w:shd w:val="clear" w:color="auto" w:fill="E2EFD9" w:themeFill="accent6" w:themeFillTint="33"/>
                  <w:vAlign w:val="bottom"/>
                </w:tcPr>
                <w:p w14:paraId="664938EA" w14:textId="77777777" w:rsidR="00993F9D" w:rsidRPr="00F90AAA" w:rsidRDefault="00993F9D" w:rsidP="00993F9D">
                  <w:pPr>
                    <w:rPr>
                      <w:rFonts w:ascii="National 2" w:hAnsi="National 2" w:cs="Calibri"/>
                      <w:color w:val="1B324F"/>
                      <w:sz w:val="18"/>
                      <w:szCs w:val="18"/>
                      <w:highlight w:val="yellow"/>
                    </w:rPr>
                  </w:pPr>
                  <w:r w:rsidRPr="00F90AAA">
                    <w:rPr>
                      <w:rFonts w:ascii="National 2" w:hAnsi="National 2" w:cs="Calibri"/>
                      <w:color w:val="000000"/>
                      <w:sz w:val="18"/>
                      <w:szCs w:val="18"/>
                    </w:rPr>
                    <w:t>Health</w:t>
                  </w:r>
                  <w:r>
                    <w:rPr>
                      <w:rFonts w:ascii="National 2" w:hAnsi="National 2" w:cs="Calibri"/>
                      <w:color w:val="000000"/>
                      <w:sz w:val="18"/>
                      <w:szCs w:val="18"/>
                    </w:rPr>
                    <w:t>c</w:t>
                  </w:r>
                  <w:r w:rsidRPr="00F90AAA">
                    <w:rPr>
                      <w:rFonts w:ascii="National 2" w:hAnsi="National 2" w:cs="Calibri"/>
                      <w:color w:val="000000"/>
                      <w:sz w:val="18"/>
                      <w:szCs w:val="18"/>
                    </w:rPr>
                    <w:t>are &amp; Social Assistance</w:t>
                  </w:r>
                </w:p>
              </w:tc>
              <w:tc>
                <w:tcPr>
                  <w:tcW w:w="1701" w:type="dxa"/>
                  <w:shd w:val="clear" w:color="auto" w:fill="E2EFD9" w:themeFill="accent6" w:themeFillTint="33"/>
                  <w:vAlign w:val="bottom"/>
                </w:tcPr>
                <w:p w14:paraId="221967A4" w14:textId="63D7415E" w:rsidR="00993F9D" w:rsidRPr="00F90AAA" w:rsidRDefault="00993F9D" w:rsidP="00993F9D">
                  <w:pPr>
                    <w:jc w:val="center"/>
                    <w:rPr>
                      <w:rFonts w:ascii="National 2" w:hAnsi="National 2" w:cs="Calibri"/>
                      <w:color w:val="1B324F"/>
                      <w:sz w:val="18"/>
                      <w:szCs w:val="18"/>
                      <w:highlight w:val="yellow"/>
                    </w:rPr>
                  </w:pPr>
                  <w:r w:rsidRPr="00F90AAA">
                    <w:rPr>
                      <w:rFonts w:ascii="National 2" w:hAnsi="National 2" w:cs="Calibri"/>
                      <w:color w:val="000000"/>
                      <w:sz w:val="18"/>
                      <w:szCs w:val="18"/>
                    </w:rPr>
                    <w:t>23</w:t>
                  </w:r>
                  <w:r>
                    <w:rPr>
                      <w:rFonts w:ascii="National 2" w:hAnsi="National 2" w:cs="Calibri"/>
                      <w:color w:val="000000"/>
                      <w:sz w:val="18"/>
                      <w:szCs w:val="18"/>
                    </w:rPr>
                    <w:t>,</w:t>
                  </w:r>
                  <w:r w:rsidRPr="00F90AAA">
                    <w:rPr>
                      <w:rFonts w:ascii="National 2" w:hAnsi="National 2" w:cs="Calibri"/>
                      <w:color w:val="000000"/>
                      <w:sz w:val="18"/>
                      <w:szCs w:val="18"/>
                    </w:rPr>
                    <w:t>400</w:t>
                  </w:r>
                </w:p>
              </w:tc>
              <w:tc>
                <w:tcPr>
                  <w:tcW w:w="1134" w:type="dxa"/>
                  <w:shd w:val="clear" w:color="auto" w:fill="E2EFD9" w:themeFill="accent6" w:themeFillTint="33"/>
                </w:tcPr>
                <w:p w14:paraId="5F10CDE9" w14:textId="4BDB2B56" w:rsidR="00993F9D" w:rsidRPr="00F90AAA" w:rsidRDefault="00993F9D" w:rsidP="00993F9D">
                  <w:pPr>
                    <w:jc w:val="center"/>
                    <w:rPr>
                      <w:rFonts w:ascii="National 2" w:hAnsi="National 2" w:cs="Calibri"/>
                      <w:color w:val="000000"/>
                      <w:sz w:val="18"/>
                      <w:szCs w:val="18"/>
                    </w:rPr>
                  </w:pPr>
                  <w:r>
                    <w:rPr>
                      <w:rFonts w:ascii="National 2" w:hAnsi="National 2" w:cs="Calibri"/>
                      <w:color w:val="000000"/>
                      <w:sz w:val="18"/>
                      <w:szCs w:val="18"/>
                    </w:rPr>
                    <w:t>86,100</w:t>
                  </w:r>
                </w:p>
              </w:tc>
              <w:tc>
                <w:tcPr>
                  <w:tcW w:w="1134" w:type="dxa"/>
                  <w:shd w:val="clear" w:color="auto" w:fill="E2EFD9" w:themeFill="accent6" w:themeFillTint="33"/>
                  <w:vAlign w:val="bottom"/>
                </w:tcPr>
                <w:p w14:paraId="43A9B101" w14:textId="37DE1D24" w:rsidR="00993F9D" w:rsidRPr="00F90AAA" w:rsidRDefault="00993F9D" w:rsidP="00993F9D">
                  <w:pPr>
                    <w:jc w:val="center"/>
                    <w:rPr>
                      <w:rFonts w:ascii="National 2" w:hAnsi="National 2" w:cs="Calibri"/>
                      <w:color w:val="1B324F"/>
                      <w:sz w:val="18"/>
                      <w:szCs w:val="18"/>
                      <w:highlight w:val="yellow"/>
                    </w:rPr>
                  </w:pPr>
                  <w:r w:rsidRPr="00F90AAA">
                    <w:rPr>
                      <w:rFonts w:ascii="National 2" w:hAnsi="National 2" w:cs="Calibri"/>
                      <w:color w:val="000000"/>
                      <w:sz w:val="18"/>
                      <w:szCs w:val="18"/>
                    </w:rPr>
                    <w:t>37%</w:t>
                  </w:r>
                </w:p>
              </w:tc>
              <w:tc>
                <w:tcPr>
                  <w:tcW w:w="1134" w:type="dxa"/>
                  <w:shd w:val="clear" w:color="auto" w:fill="E2EFD9" w:themeFill="accent6" w:themeFillTint="33"/>
                  <w:vAlign w:val="bottom"/>
                </w:tcPr>
                <w:p w14:paraId="5FF85691" w14:textId="77777777" w:rsidR="00993F9D" w:rsidRPr="00F90AAA" w:rsidRDefault="00993F9D" w:rsidP="00993F9D">
                  <w:pPr>
                    <w:jc w:val="center"/>
                    <w:rPr>
                      <w:rFonts w:ascii="National 2" w:hAnsi="National 2" w:cs="Calibri"/>
                      <w:color w:val="1B324F"/>
                      <w:sz w:val="18"/>
                      <w:szCs w:val="18"/>
                      <w:highlight w:val="yellow"/>
                    </w:rPr>
                  </w:pPr>
                  <w:r w:rsidRPr="00F90AAA">
                    <w:rPr>
                      <w:rFonts w:ascii="National 2" w:hAnsi="National 2" w:cs="Calibri"/>
                      <w:color w:val="000000"/>
                      <w:sz w:val="18"/>
                      <w:szCs w:val="18"/>
                    </w:rPr>
                    <w:t>29%</w:t>
                  </w:r>
                </w:p>
              </w:tc>
            </w:tr>
            <w:tr w:rsidR="00993F9D" w:rsidRPr="00D17D0B" w14:paraId="5D390F85" w14:textId="77777777" w:rsidTr="00D51BCA">
              <w:tc>
                <w:tcPr>
                  <w:tcW w:w="3315" w:type="dxa"/>
                  <w:shd w:val="clear" w:color="auto" w:fill="E2EFD9" w:themeFill="accent6" w:themeFillTint="33"/>
                  <w:vAlign w:val="bottom"/>
                </w:tcPr>
                <w:p w14:paraId="76F64308" w14:textId="77777777" w:rsidR="00993F9D" w:rsidRPr="00F90AAA" w:rsidRDefault="00993F9D" w:rsidP="00993F9D">
                  <w:pPr>
                    <w:rPr>
                      <w:rFonts w:ascii="National 2" w:hAnsi="National 2" w:cs="Calibri"/>
                      <w:color w:val="1B324F"/>
                      <w:sz w:val="18"/>
                      <w:szCs w:val="18"/>
                      <w:highlight w:val="yellow"/>
                    </w:rPr>
                  </w:pPr>
                  <w:r w:rsidRPr="00F90AAA">
                    <w:rPr>
                      <w:rFonts w:ascii="National 2" w:hAnsi="National 2" w:cs="Calibri"/>
                      <w:color w:val="000000"/>
                      <w:sz w:val="18"/>
                      <w:szCs w:val="18"/>
                    </w:rPr>
                    <w:t>Retail Trade</w:t>
                  </w:r>
                </w:p>
              </w:tc>
              <w:tc>
                <w:tcPr>
                  <w:tcW w:w="1701" w:type="dxa"/>
                  <w:shd w:val="clear" w:color="auto" w:fill="E2EFD9" w:themeFill="accent6" w:themeFillTint="33"/>
                  <w:vAlign w:val="bottom"/>
                </w:tcPr>
                <w:p w14:paraId="607686F6" w14:textId="1F97F0BF" w:rsidR="00993F9D" w:rsidRPr="00F90AAA" w:rsidRDefault="00993F9D" w:rsidP="00993F9D">
                  <w:pPr>
                    <w:jc w:val="center"/>
                    <w:rPr>
                      <w:rFonts w:ascii="National 2" w:hAnsi="National 2" w:cs="Calibri"/>
                      <w:color w:val="1B324F"/>
                      <w:sz w:val="18"/>
                      <w:szCs w:val="18"/>
                      <w:highlight w:val="yellow"/>
                    </w:rPr>
                  </w:pPr>
                  <w:r w:rsidRPr="00F90AAA">
                    <w:rPr>
                      <w:rFonts w:ascii="National 2" w:hAnsi="National 2" w:cs="Calibri"/>
                      <w:color w:val="000000"/>
                      <w:sz w:val="18"/>
                      <w:szCs w:val="18"/>
                    </w:rPr>
                    <w:t>20</w:t>
                  </w:r>
                  <w:r>
                    <w:rPr>
                      <w:rFonts w:ascii="National 2" w:hAnsi="National 2" w:cs="Calibri"/>
                      <w:color w:val="000000"/>
                      <w:sz w:val="18"/>
                      <w:szCs w:val="18"/>
                    </w:rPr>
                    <w:t>,</w:t>
                  </w:r>
                  <w:r w:rsidRPr="00F90AAA">
                    <w:rPr>
                      <w:rFonts w:ascii="National 2" w:hAnsi="National 2" w:cs="Calibri"/>
                      <w:color w:val="000000"/>
                      <w:sz w:val="18"/>
                      <w:szCs w:val="18"/>
                    </w:rPr>
                    <w:t>700</w:t>
                  </w:r>
                </w:p>
              </w:tc>
              <w:tc>
                <w:tcPr>
                  <w:tcW w:w="1134" w:type="dxa"/>
                  <w:shd w:val="clear" w:color="auto" w:fill="E2EFD9" w:themeFill="accent6" w:themeFillTint="33"/>
                </w:tcPr>
                <w:p w14:paraId="0A9A6014" w14:textId="321A52DB" w:rsidR="00993F9D" w:rsidRPr="00F90AAA" w:rsidRDefault="00993F9D" w:rsidP="00993F9D">
                  <w:pPr>
                    <w:jc w:val="center"/>
                    <w:rPr>
                      <w:rFonts w:ascii="National 2" w:hAnsi="National 2" w:cs="Calibri"/>
                      <w:color w:val="000000"/>
                      <w:sz w:val="18"/>
                      <w:szCs w:val="18"/>
                    </w:rPr>
                  </w:pPr>
                  <w:r>
                    <w:rPr>
                      <w:rFonts w:ascii="National 2" w:hAnsi="National 2" w:cs="Calibri"/>
                      <w:color w:val="000000"/>
                      <w:sz w:val="18"/>
                      <w:szCs w:val="18"/>
                    </w:rPr>
                    <w:t>81,400</w:t>
                  </w:r>
                </w:p>
              </w:tc>
              <w:tc>
                <w:tcPr>
                  <w:tcW w:w="1134" w:type="dxa"/>
                  <w:shd w:val="clear" w:color="auto" w:fill="E2EFD9" w:themeFill="accent6" w:themeFillTint="33"/>
                  <w:vAlign w:val="bottom"/>
                </w:tcPr>
                <w:p w14:paraId="3E246B5A" w14:textId="203ACB6A" w:rsidR="00993F9D" w:rsidRPr="00F90AAA" w:rsidRDefault="00993F9D" w:rsidP="00993F9D">
                  <w:pPr>
                    <w:jc w:val="center"/>
                    <w:rPr>
                      <w:rFonts w:ascii="National 2" w:hAnsi="National 2" w:cs="Calibri"/>
                      <w:color w:val="1B324F"/>
                      <w:sz w:val="18"/>
                      <w:szCs w:val="18"/>
                      <w:highlight w:val="yellow"/>
                    </w:rPr>
                  </w:pPr>
                  <w:r w:rsidRPr="00F90AAA">
                    <w:rPr>
                      <w:rFonts w:ascii="National 2" w:hAnsi="National 2" w:cs="Calibri"/>
                      <w:color w:val="000000"/>
                      <w:sz w:val="18"/>
                      <w:szCs w:val="18"/>
                    </w:rPr>
                    <w:t>34%</w:t>
                  </w:r>
                </w:p>
              </w:tc>
              <w:tc>
                <w:tcPr>
                  <w:tcW w:w="1134" w:type="dxa"/>
                  <w:shd w:val="clear" w:color="auto" w:fill="E2EFD9" w:themeFill="accent6" w:themeFillTint="33"/>
                  <w:vAlign w:val="bottom"/>
                </w:tcPr>
                <w:p w14:paraId="16372953" w14:textId="77777777" w:rsidR="00993F9D" w:rsidRPr="00F90AAA" w:rsidRDefault="00993F9D" w:rsidP="00993F9D">
                  <w:pPr>
                    <w:jc w:val="center"/>
                    <w:rPr>
                      <w:rFonts w:ascii="National 2" w:hAnsi="National 2" w:cs="Calibri"/>
                      <w:color w:val="1B324F"/>
                      <w:sz w:val="18"/>
                      <w:szCs w:val="18"/>
                      <w:highlight w:val="yellow"/>
                    </w:rPr>
                  </w:pPr>
                  <w:r w:rsidRPr="00F90AAA">
                    <w:rPr>
                      <w:rFonts w:ascii="National 2" w:hAnsi="National 2" w:cs="Calibri"/>
                      <w:color w:val="000000"/>
                      <w:sz w:val="18"/>
                      <w:szCs w:val="18"/>
                    </w:rPr>
                    <w:t>20%</w:t>
                  </w:r>
                </w:p>
              </w:tc>
            </w:tr>
            <w:tr w:rsidR="00993F9D" w:rsidRPr="00D17D0B" w14:paraId="3EF3A357" w14:textId="77777777" w:rsidTr="00D51BCA">
              <w:tc>
                <w:tcPr>
                  <w:tcW w:w="3315" w:type="dxa"/>
                  <w:shd w:val="clear" w:color="auto" w:fill="E2EFD9" w:themeFill="accent6" w:themeFillTint="33"/>
                  <w:vAlign w:val="bottom"/>
                </w:tcPr>
                <w:p w14:paraId="71154E42" w14:textId="77777777" w:rsidR="00993F9D" w:rsidRPr="00F90AAA" w:rsidRDefault="00993F9D" w:rsidP="00993F9D">
                  <w:pPr>
                    <w:rPr>
                      <w:rFonts w:ascii="National 2" w:hAnsi="National 2" w:cs="Calibri"/>
                      <w:color w:val="1B324F"/>
                      <w:sz w:val="18"/>
                      <w:szCs w:val="18"/>
                      <w:highlight w:val="yellow"/>
                    </w:rPr>
                  </w:pPr>
                  <w:r w:rsidRPr="00F90AAA">
                    <w:rPr>
                      <w:rFonts w:ascii="National 2" w:hAnsi="National 2" w:cs="Calibri"/>
                      <w:color w:val="000000"/>
                      <w:sz w:val="18"/>
                      <w:szCs w:val="18"/>
                    </w:rPr>
                    <w:t>Accommodation &amp; Food Services</w:t>
                  </w:r>
                </w:p>
              </w:tc>
              <w:tc>
                <w:tcPr>
                  <w:tcW w:w="1701" w:type="dxa"/>
                  <w:shd w:val="clear" w:color="auto" w:fill="E2EFD9" w:themeFill="accent6" w:themeFillTint="33"/>
                  <w:vAlign w:val="bottom"/>
                </w:tcPr>
                <w:p w14:paraId="59683E39" w14:textId="54461265" w:rsidR="00993F9D" w:rsidRPr="00F90AAA" w:rsidRDefault="00993F9D" w:rsidP="00993F9D">
                  <w:pPr>
                    <w:jc w:val="center"/>
                    <w:rPr>
                      <w:rFonts w:ascii="National 2" w:hAnsi="National 2" w:cs="Calibri"/>
                      <w:color w:val="1B324F"/>
                      <w:sz w:val="18"/>
                      <w:szCs w:val="18"/>
                      <w:highlight w:val="yellow"/>
                    </w:rPr>
                  </w:pPr>
                  <w:r w:rsidRPr="00F90AAA">
                    <w:rPr>
                      <w:rFonts w:ascii="National 2" w:hAnsi="National 2" w:cs="Calibri"/>
                      <w:color w:val="000000"/>
                      <w:sz w:val="18"/>
                      <w:szCs w:val="18"/>
                    </w:rPr>
                    <w:t>12</w:t>
                  </w:r>
                  <w:r>
                    <w:rPr>
                      <w:rFonts w:ascii="National 2" w:hAnsi="National 2" w:cs="Calibri"/>
                      <w:color w:val="000000"/>
                      <w:sz w:val="18"/>
                      <w:szCs w:val="18"/>
                    </w:rPr>
                    <w:t>,</w:t>
                  </w:r>
                  <w:r w:rsidRPr="00F90AAA">
                    <w:rPr>
                      <w:rFonts w:ascii="National 2" w:hAnsi="National 2" w:cs="Calibri"/>
                      <w:color w:val="000000"/>
                      <w:sz w:val="18"/>
                      <w:szCs w:val="18"/>
                    </w:rPr>
                    <w:t>800</w:t>
                  </w:r>
                </w:p>
              </w:tc>
              <w:tc>
                <w:tcPr>
                  <w:tcW w:w="1134" w:type="dxa"/>
                  <w:shd w:val="clear" w:color="auto" w:fill="E2EFD9" w:themeFill="accent6" w:themeFillTint="33"/>
                </w:tcPr>
                <w:p w14:paraId="7301970A" w14:textId="36E97732" w:rsidR="00993F9D" w:rsidRPr="00F90AAA" w:rsidRDefault="00993F9D" w:rsidP="00993F9D">
                  <w:pPr>
                    <w:jc w:val="center"/>
                    <w:rPr>
                      <w:rFonts w:ascii="National 2" w:hAnsi="National 2" w:cs="Calibri"/>
                      <w:color w:val="000000"/>
                      <w:sz w:val="18"/>
                      <w:szCs w:val="18"/>
                    </w:rPr>
                  </w:pPr>
                  <w:r>
                    <w:rPr>
                      <w:rFonts w:ascii="National 2" w:hAnsi="National 2" w:cs="Calibri"/>
                      <w:color w:val="000000"/>
                      <w:sz w:val="18"/>
                      <w:szCs w:val="18"/>
                    </w:rPr>
                    <w:t>55,400</w:t>
                  </w:r>
                </w:p>
              </w:tc>
              <w:tc>
                <w:tcPr>
                  <w:tcW w:w="1134" w:type="dxa"/>
                  <w:shd w:val="clear" w:color="auto" w:fill="E2EFD9" w:themeFill="accent6" w:themeFillTint="33"/>
                  <w:vAlign w:val="bottom"/>
                </w:tcPr>
                <w:p w14:paraId="0F28017A" w14:textId="61682288" w:rsidR="00993F9D" w:rsidRPr="00F90AAA" w:rsidRDefault="00993F9D" w:rsidP="00993F9D">
                  <w:pPr>
                    <w:jc w:val="center"/>
                    <w:rPr>
                      <w:rFonts w:ascii="National 2" w:hAnsi="National 2" w:cs="Calibri"/>
                      <w:color w:val="1B324F"/>
                      <w:sz w:val="18"/>
                      <w:szCs w:val="18"/>
                      <w:highlight w:val="yellow"/>
                    </w:rPr>
                  </w:pPr>
                  <w:r w:rsidRPr="00F90AAA">
                    <w:rPr>
                      <w:rFonts w:ascii="National 2" w:hAnsi="National 2" w:cs="Calibri"/>
                      <w:color w:val="000000"/>
                      <w:sz w:val="18"/>
                      <w:szCs w:val="18"/>
                    </w:rPr>
                    <w:t>30%</w:t>
                  </w:r>
                </w:p>
              </w:tc>
              <w:tc>
                <w:tcPr>
                  <w:tcW w:w="1134" w:type="dxa"/>
                  <w:shd w:val="clear" w:color="auto" w:fill="E2EFD9" w:themeFill="accent6" w:themeFillTint="33"/>
                  <w:vAlign w:val="bottom"/>
                </w:tcPr>
                <w:p w14:paraId="0CCD66F6" w14:textId="77777777" w:rsidR="00993F9D" w:rsidRPr="00F90AAA" w:rsidRDefault="00993F9D" w:rsidP="00993F9D">
                  <w:pPr>
                    <w:jc w:val="center"/>
                    <w:rPr>
                      <w:rFonts w:ascii="National 2" w:hAnsi="National 2" w:cs="Calibri"/>
                      <w:color w:val="1B324F"/>
                      <w:sz w:val="18"/>
                      <w:szCs w:val="18"/>
                      <w:highlight w:val="yellow"/>
                    </w:rPr>
                  </w:pPr>
                  <w:r w:rsidRPr="00F90AAA">
                    <w:rPr>
                      <w:rFonts w:ascii="National 2" w:hAnsi="National 2" w:cs="Calibri"/>
                      <w:color w:val="000000"/>
                      <w:sz w:val="18"/>
                      <w:szCs w:val="18"/>
                    </w:rPr>
                    <w:t>20%</w:t>
                  </w:r>
                </w:p>
              </w:tc>
            </w:tr>
            <w:tr w:rsidR="00993F9D" w:rsidRPr="00D17D0B" w14:paraId="5454515C" w14:textId="77777777" w:rsidTr="00D51BCA">
              <w:tc>
                <w:tcPr>
                  <w:tcW w:w="3315" w:type="dxa"/>
                  <w:shd w:val="clear" w:color="auto" w:fill="E2EFD9" w:themeFill="accent6" w:themeFillTint="33"/>
                  <w:vAlign w:val="bottom"/>
                </w:tcPr>
                <w:p w14:paraId="23CE0E62" w14:textId="77777777" w:rsidR="00993F9D" w:rsidRPr="00F90AAA" w:rsidRDefault="00993F9D" w:rsidP="00993F9D">
                  <w:pPr>
                    <w:rPr>
                      <w:rFonts w:ascii="National 2" w:hAnsi="National 2" w:cs="Calibri"/>
                      <w:color w:val="1B324F"/>
                      <w:sz w:val="18"/>
                      <w:szCs w:val="18"/>
                      <w:highlight w:val="yellow"/>
                    </w:rPr>
                  </w:pPr>
                  <w:r w:rsidRPr="00F90AAA">
                    <w:rPr>
                      <w:rFonts w:ascii="National 2" w:hAnsi="National 2" w:cs="Calibri"/>
                      <w:color w:val="000000"/>
                      <w:sz w:val="18"/>
                      <w:szCs w:val="18"/>
                    </w:rPr>
                    <w:t>Admin &amp; Support Services</w:t>
                  </w:r>
                </w:p>
              </w:tc>
              <w:tc>
                <w:tcPr>
                  <w:tcW w:w="1701" w:type="dxa"/>
                  <w:shd w:val="clear" w:color="auto" w:fill="E2EFD9" w:themeFill="accent6" w:themeFillTint="33"/>
                  <w:vAlign w:val="bottom"/>
                </w:tcPr>
                <w:p w14:paraId="330A8DE9" w14:textId="6D858A8F" w:rsidR="00993F9D" w:rsidRPr="00F90AAA" w:rsidRDefault="00993F9D" w:rsidP="00993F9D">
                  <w:pPr>
                    <w:jc w:val="center"/>
                    <w:rPr>
                      <w:rFonts w:ascii="National 2" w:hAnsi="National 2" w:cs="Calibri"/>
                      <w:color w:val="1B324F"/>
                      <w:sz w:val="18"/>
                      <w:szCs w:val="18"/>
                      <w:highlight w:val="yellow"/>
                    </w:rPr>
                  </w:pPr>
                  <w:r w:rsidRPr="00F90AAA">
                    <w:rPr>
                      <w:rFonts w:ascii="National 2" w:hAnsi="National 2" w:cs="Calibri"/>
                      <w:color w:val="000000"/>
                      <w:sz w:val="18"/>
                      <w:szCs w:val="18"/>
                    </w:rPr>
                    <w:t>10</w:t>
                  </w:r>
                  <w:r>
                    <w:rPr>
                      <w:rFonts w:ascii="National 2" w:hAnsi="National 2" w:cs="Calibri"/>
                      <w:color w:val="000000"/>
                      <w:sz w:val="18"/>
                      <w:szCs w:val="18"/>
                    </w:rPr>
                    <w:t>,</w:t>
                  </w:r>
                  <w:r w:rsidRPr="00F90AAA">
                    <w:rPr>
                      <w:rFonts w:ascii="National 2" w:hAnsi="National 2" w:cs="Calibri"/>
                      <w:color w:val="000000"/>
                      <w:sz w:val="18"/>
                      <w:szCs w:val="18"/>
                    </w:rPr>
                    <w:t>800</w:t>
                  </w:r>
                </w:p>
              </w:tc>
              <w:tc>
                <w:tcPr>
                  <w:tcW w:w="1134" w:type="dxa"/>
                  <w:shd w:val="clear" w:color="auto" w:fill="E2EFD9" w:themeFill="accent6" w:themeFillTint="33"/>
                </w:tcPr>
                <w:p w14:paraId="52AC84C5" w14:textId="358E98A0" w:rsidR="00993F9D" w:rsidRPr="00F90AAA" w:rsidRDefault="00993F9D" w:rsidP="00993F9D">
                  <w:pPr>
                    <w:jc w:val="center"/>
                    <w:rPr>
                      <w:rFonts w:ascii="National 2" w:hAnsi="National 2" w:cs="Calibri"/>
                      <w:color w:val="000000"/>
                      <w:sz w:val="18"/>
                      <w:szCs w:val="18"/>
                    </w:rPr>
                  </w:pPr>
                  <w:r>
                    <w:rPr>
                      <w:rFonts w:ascii="National 2" w:hAnsi="National 2" w:cs="Calibri"/>
                      <w:color w:val="000000"/>
                      <w:sz w:val="18"/>
                      <w:szCs w:val="18"/>
                    </w:rPr>
                    <w:t>49,900</w:t>
                  </w:r>
                </w:p>
              </w:tc>
              <w:tc>
                <w:tcPr>
                  <w:tcW w:w="1134" w:type="dxa"/>
                  <w:shd w:val="clear" w:color="auto" w:fill="E2EFD9" w:themeFill="accent6" w:themeFillTint="33"/>
                  <w:vAlign w:val="bottom"/>
                </w:tcPr>
                <w:p w14:paraId="36F2E1FC" w14:textId="17E8A271" w:rsidR="00993F9D" w:rsidRPr="00F90AAA" w:rsidRDefault="00993F9D" w:rsidP="00993F9D">
                  <w:pPr>
                    <w:jc w:val="center"/>
                    <w:rPr>
                      <w:rFonts w:ascii="National 2" w:hAnsi="National 2" w:cs="Calibri"/>
                      <w:color w:val="1B324F"/>
                      <w:sz w:val="18"/>
                      <w:szCs w:val="18"/>
                      <w:highlight w:val="yellow"/>
                    </w:rPr>
                  </w:pPr>
                  <w:r w:rsidRPr="00F90AAA">
                    <w:rPr>
                      <w:rFonts w:ascii="National 2" w:hAnsi="National 2" w:cs="Calibri"/>
                      <w:color w:val="000000"/>
                      <w:sz w:val="18"/>
                      <w:szCs w:val="18"/>
                    </w:rPr>
                    <w:t>28%</w:t>
                  </w:r>
                </w:p>
              </w:tc>
              <w:tc>
                <w:tcPr>
                  <w:tcW w:w="1134" w:type="dxa"/>
                  <w:shd w:val="clear" w:color="auto" w:fill="E2EFD9" w:themeFill="accent6" w:themeFillTint="33"/>
                  <w:vAlign w:val="bottom"/>
                </w:tcPr>
                <w:p w14:paraId="1ED45F2F" w14:textId="77777777" w:rsidR="00993F9D" w:rsidRPr="00F90AAA" w:rsidRDefault="00993F9D" w:rsidP="00993F9D">
                  <w:pPr>
                    <w:jc w:val="center"/>
                    <w:rPr>
                      <w:rFonts w:ascii="National 2" w:hAnsi="National 2" w:cs="Calibri"/>
                      <w:color w:val="1B324F"/>
                      <w:sz w:val="18"/>
                      <w:szCs w:val="18"/>
                      <w:highlight w:val="yellow"/>
                    </w:rPr>
                  </w:pPr>
                  <w:r w:rsidRPr="00F90AAA">
                    <w:rPr>
                      <w:rFonts w:ascii="National 2" w:hAnsi="National 2" w:cs="Calibri"/>
                      <w:color w:val="000000"/>
                      <w:sz w:val="18"/>
                      <w:szCs w:val="18"/>
                    </w:rPr>
                    <w:t>21%</w:t>
                  </w:r>
                </w:p>
              </w:tc>
            </w:tr>
            <w:tr w:rsidR="00993F9D" w:rsidRPr="00D17D0B" w14:paraId="569F55CC" w14:textId="77777777" w:rsidTr="00D51BCA">
              <w:tc>
                <w:tcPr>
                  <w:tcW w:w="3315" w:type="dxa"/>
                  <w:shd w:val="clear" w:color="auto" w:fill="E2EFD9" w:themeFill="accent6" w:themeFillTint="33"/>
                  <w:vAlign w:val="bottom"/>
                </w:tcPr>
                <w:p w14:paraId="41C2149B" w14:textId="77777777" w:rsidR="00993F9D" w:rsidRPr="0067445C" w:rsidRDefault="00993F9D" w:rsidP="00993F9D">
                  <w:pPr>
                    <w:rPr>
                      <w:rFonts w:ascii="National 2" w:hAnsi="National 2" w:cs="Calibri"/>
                      <w:color w:val="000000"/>
                      <w:sz w:val="18"/>
                      <w:szCs w:val="18"/>
                    </w:rPr>
                  </w:pPr>
                  <w:r w:rsidRPr="0067445C">
                    <w:rPr>
                      <w:rFonts w:ascii="National 2" w:hAnsi="National 2" w:cs="Calibri"/>
                      <w:color w:val="000000"/>
                      <w:sz w:val="18"/>
                      <w:szCs w:val="18"/>
                    </w:rPr>
                    <w:t>Public Administration &amp; Safety</w:t>
                  </w:r>
                </w:p>
              </w:tc>
              <w:tc>
                <w:tcPr>
                  <w:tcW w:w="1701" w:type="dxa"/>
                  <w:shd w:val="clear" w:color="auto" w:fill="E2EFD9" w:themeFill="accent6" w:themeFillTint="33"/>
                  <w:vAlign w:val="bottom"/>
                </w:tcPr>
                <w:p w14:paraId="4D9D6483" w14:textId="04020867" w:rsidR="00993F9D" w:rsidRPr="0067445C" w:rsidRDefault="00993F9D" w:rsidP="00993F9D">
                  <w:pPr>
                    <w:jc w:val="center"/>
                    <w:rPr>
                      <w:rFonts w:ascii="National 2" w:hAnsi="National 2" w:cs="Calibri"/>
                      <w:color w:val="000000"/>
                      <w:sz w:val="18"/>
                      <w:szCs w:val="18"/>
                    </w:rPr>
                  </w:pPr>
                  <w:r w:rsidRPr="0067445C">
                    <w:rPr>
                      <w:rFonts w:ascii="National 2" w:hAnsi="National 2" w:cs="Calibri"/>
                      <w:color w:val="000000"/>
                      <w:sz w:val="18"/>
                      <w:szCs w:val="18"/>
                    </w:rPr>
                    <w:t>8</w:t>
                  </w:r>
                  <w:r>
                    <w:rPr>
                      <w:rFonts w:ascii="National 2" w:hAnsi="National 2" w:cs="Calibri"/>
                      <w:color w:val="000000"/>
                      <w:sz w:val="18"/>
                      <w:szCs w:val="18"/>
                    </w:rPr>
                    <w:t>,</w:t>
                  </w:r>
                  <w:r w:rsidRPr="0067445C">
                    <w:rPr>
                      <w:rFonts w:ascii="National 2" w:hAnsi="National 2" w:cs="Calibri"/>
                      <w:color w:val="000000"/>
                      <w:sz w:val="18"/>
                      <w:szCs w:val="18"/>
                    </w:rPr>
                    <w:t>700</w:t>
                  </w:r>
                </w:p>
              </w:tc>
              <w:tc>
                <w:tcPr>
                  <w:tcW w:w="1134" w:type="dxa"/>
                  <w:shd w:val="clear" w:color="auto" w:fill="E2EFD9" w:themeFill="accent6" w:themeFillTint="33"/>
                </w:tcPr>
                <w:p w14:paraId="5ABCD480" w14:textId="3A81F556" w:rsidR="00993F9D" w:rsidRPr="0067445C" w:rsidRDefault="00993F9D" w:rsidP="00993F9D">
                  <w:pPr>
                    <w:jc w:val="center"/>
                    <w:rPr>
                      <w:rFonts w:ascii="National 2" w:hAnsi="National 2" w:cs="Calibri"/>
                      <w:color w:val="000000"/>
                      <w:sz w:val="18"/>
                      <w:szCs w:val="18"/>
                    </w:rPr>
                  </w:pPr>
                  <w:r>
                    <w:rPr>
                      <w:rFonts w:ascii="National 2" w:hAnsi="National 2" w:cs="Calibri"/>
                      <w:color w:val="000000"/>
                      <w:sz w:val="18"/>
                      <w:szCs w:val="18"/>
                    </w:rPr>
                    <w:t>38,400</w:t>
                  </w:r>
                </w:p>
              </w:tc>
              <w:tc>
                <w:tcPr>
                  <w:tcW w:w="1134" w:type="dxa"/>
                  <w:shd w:val="clear" w:color="auto" w:fill="E2EFD9" w:themeFill="accent6" w:themeFillTint="33"/>
                  <w:vAlign w:val="bottom"/>
                </w:tcPr>
                <w:p w14:paraId="2A25C624" w14:textId="16E4988B" w:rsidR="00993F9D" w:rsidRPr="0067445C" w:rsidRDefault="00993F9D" w:rsidP="00993F9D">
                  <w:pPr>
                    <w:jc w:val="center"/>
                    <w:rPr>
                      <w:rFonts w:ascii="National 2" w:hAnsi="National 2" w:cs="Calibri"/>
                      <w:color w:val="000000"/>
                      <w:sz w:val="18"/>
                      <w:szCs w:val="18"/>
                    </w:rPr>
                  </w:pPr>
                  <w:r w:rsidRPr="0067445C">
                    <w:rPr>
                      <w:rFonts w:ascii="National 2" w:hAnsi="National 2" w:cs="Calibri"/>
                      <w:color w:val="000000"/>
                      <w:sz w:val="18"/>
                      <w:szCs w:val="18"/>
                    </w:rPr>
                    <w:t>29%</w:t>
                  </w:r>
                </w:p>
              </w:tc>
              <w:tc>
                <w:tcPr>
                  <w:tcW w:w="1134" w:type="dxa"/>
                  <w:shd w:val="clear" w:color="auto" w:fill="E2EFD9" w:themeFill="accent6" w:themeFillTint="33"/>
                  <w:vAlign w:val="bottom"/>
                </w:tcPr>
                <w:p w14:paraId="062F10AC" w14:textId="77777777" w:rsidR="00993F9D" w:rsidRPr="0067445C" w:rsidRDefault="00993F9D" w:rsidP="00993F9D">
                  <w:pPr>
                    <w:jc w:val="center"/>
                    <w:rPr>
                      <w:rFonts w:ascii="National 2" w:hAnsi="National 2" w:cs="Calibri"/>
                      <w:color w:val="000000"/>
                      <w:sz w:val="18"/>
                      <w:szCs w:val="18"/>
                    </w:rPr>
                  </w:pPr>
                  <w:r w:rsidRPr="0067445C">
                    <w:rPr>
                      <w:rFonts w:ascii="National 2" w:hAnsi="National 2" w:cs="Calibri"/>
                      <w:color w:val="000000"/>
                      <w:sz w:val="18"/>
                      <w:szCs w:val="18"/>
                    </w:rPr>
                    <w:t>33%</w:t>
                  </w:r>
                </w:p>
              </w:tc>
            </w:tr>
            <w:tr w:rsidR="00993F9D" w:rsidRPr="00D17D0B" w14:paraId="737B20C7" w14:textId="77777777" w:rsidTr="00D51BCA">
              <w:tc>
                <w:tcPr>
                  <w:tcW w:w="3315" w:type="dxa"/>
                  <w:shd w:val="clear" w:color="auto" w:fill="E2EFD9" w:themeFill="accent6" w:themeFillTint="33"/>
                  <w:vAlign w:val="bottom"/>
                </w:tcPr>
                <w:p w14:paraId="39AB5F9B" w14:textId="77777777" w:rsidR="00993F9D" w:rsidRPr="0067445C" w:rsidRDefault="00993F9D" w:rsidP="00993F9D">
                  <w:pPr>
                    <w:rPr>
                      <w:rFonts w:ascii="National 2" w:hAnsi="National 2" w:cs="Calibri"/>
                      <w:color w:val="000000"/>
                      <w:sz w:val="18"/>
                      <w:szCs w:val="18"/>
                    </w:rPr>
                  </w:pPr>
                  <w:r w:rsidRPr="0067445C">
                    <w:rPr>
                      <w:rFonts w:ascii="National 2" w:hAnsi="National 2" w:cs="Calibri"/>
                      <w:color w:val="000000"/>
                      <w:sz w:val="18"/>
                      <w:szCs w:val="18"/>
                    </w:rPr>
                    <w:t>Manufacturing</w:t>
                  </w:r>
                </w:p>
              </w:tc>
              <w:tc>
                <w:tcPr>
                  <w:tcW w:w="1701" w:type="dxa"/>
                  <w:shd w:val="clear" w:color="auto" w:fill="E2EFD9" w:themeFill="accent6" w:themeFillTint="33"/>
                  <w:vAlign w:val="bottom"/>
                </w:tcPr>
                <w:p w14:paraId="7E7F97BE" w14:textId="41102F24" w:rsidR="00993F9D" w:rsidRPr="0067445C" w:rsidRDefault="00993F9D" w:rsidP="00993F9D">
                  <w:pPr>
                    <w:jc w:val="center"/>
                    <w:rPr>
                      <w:rFonts w:ascii="National 2" w:hAnsi="National 2" w:cs="Calibri"/>
                      <w:color w:val="000000"/>
                      <w:sz w:val="18"/>
                      <w:szCs w:val="18"/>
                    </w:rPr>
                  </w:pPr>
                  <w:r w:rsidRPr="0067445C">
                    <w:rPr>
                      <w:rFonts w:ascii="National 2" w:hAnsi="National 2" w:cs="Calibri"/>
                      <w:color w:val="000000"/>
                      <w:sz w:val="18"/>
                      <w:szCs w:val="18"/>
                    </w:rPr>
                    <w:t>8</w:t>
                  </w:r>
                  <w:r>
                    <w:rPr>
                      <w:rFonts w:ascii="National 2" w:hAnsi="National 2" w:cs="Calibri"/>
                      <w:color w:val="000000"/>
                      <w:sz w:val="18"/>
                      <w:szCs w:val="18"/>
                    </w:rPr>
                    <w:t>,</w:t>
                  </w:r>
                  <w:r w:rsidRPr="0067445C">
                    <w:rPr>
                      <w:rFonts w:ascii="National 2" w:hAnsi="National 2" w:cs="Calibri"/>
                      <w:color w:val="000000"/>
                      <w:sz w:val="18"/>
                      <w:szCs w:val="18"/>
                    </w:rPr>
                    <w:t>200</w:t>
                  </w:r>
                </w:p>
              </w:tc>
              <w:tc>
                <w:tcPr>
                  <w:tcW w:w="1134" w:type="dxa"/>
                  <w:shd w:val="clear" w:color="auto" w:fill="E2EFD9" w:themeFill="accent6" w:themeFillTint="33"/>
                </w:tcPr>
                <w:p w14:paraId="1170BB17" w14:textId="26ADBB76" w:rsidR="00993F9D" w:rsidRPr="0067445C" w:rsidRDefault="00993F9D" w:rsidP="00993F9D">
                  <w:pPr>
                    <w:jc w:val="center"/>
                    <w:rPr>
                      <w:rFonts w:ascii="National 2" w:hAnsi="National 2" w:cs="Calibri"/>
                      <w:color w:val="000000"/>
                      <w:sz w:val="18"/>
                      <w:szCs w:val="18"/>
                    </w:rPr>
                  </w:pPr>
                  <w:r>
                    <w:rPr>
                      <w:rFonts w:ascii="National 2" w:hAnsi="National 2" w:cs="Calibri"/>
                      <w:color w:val="000000"/>
                      <w:sz w:val="18"/>
                      <w:szCs w:val="18"/>
                    </w:rPr>
                    <w:t>79,900</w:t>
                  </w:r>
                </w:p>
              </w:tc>
              <w:tc>
                <w:tcPr>
                  <w:tcW w:w="1134" w:type="dxa"/>
                  <w:shd w:val="clear" w:color="auto" w:fill="E2EFD9" w:themeFill="accent6" w:themeFillTint="33"/>
                  <w:vAlign w:val="bottom"/>
                </w:tcPr>
                <w:p w14:paraId="7FED5D70" w14:textId="7FC05B05" w:rsidR="00993F9D" w:rsidRPr="0067445C" w:rsidRDefault="00993F9D" w:rsidP="00993F9D">
                  <w:pPr>
                    <w:jc w:val="center"/>
                    <w:rPr>
                      <w:rFonts w:ascii="National 2" w:hAnsi="National 2" w:cs="Calibri"/>
                      <w:color w:val="000000"/>
                      <w:sz w:val="18"/>
                      <w:szCs w:val="18"/>
                    </w:rPr>
                  </w:pPr>
                  <w:r w:rsidRPr="0067445C">
                    <w:rPr>
                      <w:rFonts w:ascii="National 2" w:hAnsi="National 2" w:cs="Calibri"/>
                      <w:color w:val="000000"/>
                      <w:sz w:val="18"/>
                      <w:szCs w:val="18"/>
                    </w:rPr>
                    <w:t>11%</w:t>
                  </w:r>
                </w:p>
              </w:tc>
              <w:tc>
                <w:tcPr>
                  <w:tcW w:w="1134" w:type="dxa"/>
                  <w:shd w:val="clear" w:color="auto" w:fill="E2EFD9" w:themeFill="accent6" w:themeFillTint="33"/>
                  <w:vAlign w:val="bottom"/>
                </w:tcPr>
                <w:p w14:paraId="502696FC" w14:textId="77777777" w:rsidR="00993F9D" w:rsidRPr="0067445C" w:rsidRDefault="00993F9D" w:rsidP="00993F9D">
                  <w:pPr>
                    <w:jc w:val="center"/>
                    <w:rPr>
                      <w:rFonts w:ascii="National 2" w:hAnsi="National 2" w:cs="Calibri"/>
                      <w:color w:val="000000"/>
                      <w:sz w:val="18"/>
                      <w:szCs w:val="18"/>
                    </w:rPr>
                  </w:pPr>
                  <w:r w:rsidRPr="0067445C">
                    <w:rPr>
                      <w:rFonts w:ascii="National 2" w:hAnsi="National 2" w:cs="Calibri"/>
                      <w:color w:val="000000"/>
                      <w:sz w:val="18"/>
                      <w:szCs w:val="18"/>
                    </w:rPr>
                    <w:t>12%</w:t>
                  </w:r>
                </w:p>
              </w:tc>
            </w:tr>
            <w:tr w:rsidR="00993F9D" w:rsidRPr="00D17D0B" w14:paraId="52167553" w14:textId="77777777" w:rsidTr="00D51BCA">
              <w:tc>
                <w:tcPr>
                  <w:tcW w:w="3315" w:type="dxa"/>
                  <w:shd w:val="clear" w:color="auto" w:fill="E2EFD9" w:themeFill="accent6" w:themeFillTint="33"/>
                  <w:vAlign w:val="bottom"/>
                </w:tcPr>
                <w:p w14:paraId="55A56D53" w14:textId="77777777" w:rsidR="00993F9D" w:rsidRPr="0067445C" w:rsidRDefault="00993F9D" w:rsidP="00993F9D">
                  <w:pPr>
                    <w:rPr>
                      <w:rFonts w:ascii="National 2" w:hAnsi="National 2" w:cs="Calibri"/>
                      <w:color w:val="000000"/>
                      <w:sz w:val="18"/>
                      <w:szCs w:val="18"/>
                    </w:rPr>
                  </w:pPr>
                  <w:r w:rsidRPr="0067445C">
                    <w:rPr>
                      <w:rFonts w:ascii="National 2" w:hAnsi="National 2" w:cs="Calibri"/>
                      <w:color w:val="000000"/>
                      <w:sz w:val="18"/>
                      <w:szCs w:val="18"/>
                    </w:rPr>
                    <w:t>Wholesale Trade</w:t>
                  </w:r>
                </w:p>
              </w:tc>
              <w:tc>
                <w:tcPr>
                  <w:tcW w:w="1701" w:type="dxa"/>
                  <w:shd w:val="clear" w:color="auto" w:fill="E2EFD9" w:themeFill="accent6" w:themeFillTint="33"/>
                  <w:vAlign w:val="bottom"/>
                </w:tcPr>
                <w:p w14:paraId="465FECE2" w14:textId="3D5EF079" w:rsidR="00993F9D" w:rsidRPr="0067445C" w:rsidRDefault="00993F9D" w:rsidP="00993F9D">
                  <w:pPr>
                    <w:jc w:val="center"/>
                    <w:rPr>
                      <w:rFonts w:ascii="National 2" w:hAnsi="National 2" w:cs="Calibri"/>
                      <w:color w:val="000000"/>
                      <w:sz w:val="18"/>
                      <w:szCs w:val="18"/>
                    </w:rPr>
                  </w:pPr>
                  <w:r w:rsidRPr="0067445C">
                    <w:rPr>
                      <w:rFonts w:ascii="National 2" w:hAnsi="National 2" w:cs="Calibri"/>
                      <w:color w:val="000000"/>
                      <w:sz w:val="18"/>
                      <w:szCs w:val="18"/>
                    </w:rPr>
                    <w:t>8</w:t>
                  </w:r>
                  <w:r>
                    <w:rPr>
                      <w:rFonts w:ascii="National 2" w:hAnsi="National 2" w:cs="Calibri"/>
                      <w:color w:val="000000"/>
                      <w:sz w:val="18"/>
                      <w:szCs w:val="18"/>
                    </w:rPr>
                    <w:t>,</w:t>
                  </w:r>
                  <w:r w:rsidRPr="0067445C">
                    <w:rPr>
                      <w:rFonts w:ascii="National 2" w:hAnsi="National 2" w:cs="Calibri"/>
                      <w:color w:val="000000"/>
                      <w:sz w:val="18"/>
                      <w:szCs w:val="18"/>
                    </w:rPr>
                    <w:t>200</w:t>
                  </w:r>
                </w:p>
              </w:tc>
              <w:tc>
                <w:tcPr>
                  <w:tcW w:w="1134" w:type="dxa"/>
                  <w:shd w:val="clear" w:color="auto" w:fill="E2EFD9" w:themeFill="accent6" w:themeFillTint="33"/>
                </w:tcPr>
                <w:p w14:paraId="3C04DCD5" w14:textId="71FD61D3" w:rsidR="00993F9D" w:rsidRPr="0067445C" w:rsidRDefault="00993F9D" w:rsidP="00993F9D">
                  <w:pPr>
                    <w:jc w:val="center"/>
                    <w:rPr>
                      <w:rFonts w:ascii="National 2" w:hAnsi="National 2" w:cs="Calibri"/>
                      <w:color w:val="000000"/>
                      <w:sz w:val="18"/>
                      <w:szCs w:val="18"/>
                    </w:rPr>
                  </w:pPr>
                  <w:r>
                    <w:rPr>
                      <w:rFonts w:ascii="National 2" w:hAnsi="National 2" w:cs="Calibri"/>
                      <w:color w:val="000000"/>
                      <w:sz w:val="18"/>
                      <w:szCs w:val="18"/>
                    </w:rPr>
                    <w:t>61,600</w:t>
                  </w:r>
                </w:p>
              </w:tc>
              <w:tc>
                <w:tcPr>
                  <w:tcW w:w="1134" w:type="dxa"/>
                  <w:shd w:val="clear" w:color="auto" w:fill="E2EFD9" w:themeFill="accent6" w:themeFillTint="33"/>
                  <w:vAlign w:val="bottom"/>
                </w:tcPr>
                <w:p w14:paraId="690F6ADF" w14:textId="2D3742A7" w:rsidR="00993F9D" w:rsidRPr="0067445C" w:rsidRDefault="00993F9D" w:rsidP="00993F9D">
                  <w:pPr>
                    <w:jc w:val="center"/>
                    <w:rPr>
                      <w:rFonts w:ascii="National 2" w:hAnsi="National 2" w:cs="Calibri"/>
                      <w:color w:val="000000"/>
                      <w:sz w:val="18"/>
                      <w:szCs w:val="18"/>
                    </w:rPr>
                  </w:pPr>
                  <w:r w:rsidRPr="0067445C">
                    <w:rPr>
                      <w:rFonts w:ascii="National 2" w:hAnsi="National 2" w:cs="Calibri"/>
                      <w:color w:val="000000"/>
                      <w:sz w:val="18"/>
                      <w:szCs w:val="18"/>
                    </w:rPr>
                    <w:t>15%</w:t>
                  </w:r>
                </w:p>
              </w:tc>
              <w:tc>
                <w:tcPr>
                  <w:tcW w:w="1134" w:type="dxa"/>
                  <w:shd w:val="clear" w:color="auto" w:fill="E2EFD9" w:themeFill="accent6" w:themeFillTint="33"/>
                  <w:vAlign w:val="bottom"/>
                </w:tcPr>
                <w:p w14:paraId="0F83E5E0" w14:textId="77777777" w:rsidR="00993F9D" w:rsidRPr="0067445C" w:rsidRDefault="00993F9D" w:rsidP="00993F9D">
                  <w:pPr>
                    <w:jc w:val="center"/>
                    <w:rPr>
                      <w:rFonts w:ascii="National 2" w:hAnsi="National 2" w:cs="Calibri"/>
                      <w:color w:val="000000"/>
                      <w:sz w:val="18"/>
                      <w:szCs w:val="18"/>
                    </w:rPr>
                  </w:pPr>
                  <w:r w:rsidRPr="0067445C">
                    <w:rPr>
                      <w:rFonts w:ascii="National 2" w:hAnsi="National 2" w:cs="Calibri"/>
                      <w:color w:val="000000"/>
                      <w:sz w:val="18"/>
                      <w:szCs w:val="18"/>
                    </w:rPr>
                    <w:t>17%</w:t>
                  </w:r>
                </w:p>
              </w:tc>
            </w:tr>
            <w:tr w:rsidR="00993F9D" w:rsidRPr="00D17D0B" w14:paraId="5413537B" w14:textId="77777777" w:rsidTr="00D51BCA">
              <w:tc>
                <w:tcPr>
                  <w:tcW w:w="3315" w:type="dxa"/>
                  <w:shd w:val="clear" w:color="auto" w:fill="E2EFD9" w:themeFill="accent6" w:themeFillTint="33"/>
                  <w:vAlign w:val="bottom"/>
                </w:tcPr>
                <w:p w14:paraId="429FDEC6" w14:textId="77777777" w:rsidR="00993F9D" w:rsidRPr="0067445C" w:rsidRDefault="00993F9D" w:rsidP="00993F9D">
                  <w:pPr>
                    <w:rPr>
                      <w:rFonts w:ascii="National 2" w:hAnsi="National 2" w:cs="Calibri"/>
                      <w:color w:val="000000"/>
                      <w:sz w:val="18"/>
                      <w:szCs w:val="18"/>
                    </w:rPr>
                  </w:pPr>
                  <w:r w:rsidRPr="0067445C">
                    <w:rPr>
                      <w:rFonts w:ascii="National 2" w:hAnsi="National 2" w:cs="Calibri"/>
                      <w:color w:val="000000"/>
                      <w:sz w:val="18"/>
                      <w:szCs w:val="18"/>
                    </w:rPr>
                    <w:t>Education &amp; Training</w:t>
                  </w:r>
                </w:p>
              </w:tc>
              <w:tc>
                <w:tcPr>
                  <w:tcW w:w="1701" w:type="dxa"/>
                  <w:shd w:val="clear" w:color="auto" w:fill="E2EFD9" w:themeFill="accent6" w:themeFillTint="33"/>
                  <w:vAlign w:val="bottom"/>
                </w:tcPr>
                <w:p w14:paraId="0A3221CF" w14:textId="3AD6F34E" w:rsidR="00993F9D" w:rsidRPr="0067445C" w:rsidRDefault="00993F9D" w:rsidP="00993F9D">
                  <w:pPr>
                    <w:jc w:val="center"/>
                    <w:rPr>
                      <w:rFonts w:ascii="National 2" w:hAnsi="National 2" w:cs="Calibri"/>
                      <w:color w:val="000000"/>
                      <w:sz w:val="18"/>
                      <w:szCs w:val="18"/>
                    </w:rPr>
                  </w:pPr>
                  <w:r w:rsidRPr="0067445C">
                    <w:rPr>
                      <w:rFonts w:ascii="National 2" w:hAnsi="National 2" w:cs="Calibri"/>
                      <w:color w:val="000000"/>
                      <w:sz w:val="18"/>
                      <w:szCs w:val="18"/>
                    </w:rPr>
                    <w:t>7</w:t>
                  </w:r>
                  <w:r>
                    <w:rPr>
                      <w:rFonts w:ascii="National 2" w:hAnsi="National 2" w:cs="Calibri"/>
                      <w:color w:val="000000"/>
                      <w:sz w:val="18"/>
                      <w:szCs w:val="18"/>
                    </w:rPr>
                    <w:t>,</w:t>
                  </w:r>
                  <w:r w:rsidRPr="0067445C">
                    <w:rPr>
                      <w:rFonts w:ascii="National 2" w:hAnsi="National 2" w:cs="Calibri"/>
                      <w:color w:val="000000"/>
                      <w:sz w:val="18"/>
                      <w:szCs w:val="18"/>
                    </w:rPr>
                    <w:t>600</w:t>
                  </w:r>
                </w:p>
              </w:tc>
              <w:tc>
                <w:tcPr>
                  <w:tcW w:w="1134" w:type="dxa"/>
                  <w:shd w:val="clear" w:color="auto" w:fill="E2EFD9" w:themeFill="accent6" w:themeFillTint="33"/>
                </w:tcPr>
                <w:p w14:paraId="22EF1559" w14:textId="209ED231" w:rsidR="00993F9D" w:rsidRPr="0067445C" w:rsidRDefault="00993F9D" w:rsidP="00993F9D">
                  <w:pPr>
                    <w:jc w:val="center"/>
                    <w:rPr>
                      <w:rFonts w:ascii="National 2" w:hAnsi="National 2" w:cs="Calibri"/>
                      <w:color w:val="000000"/>
                      <w:sz w:val="18"/>
                      <w:szCs w:val="18"/>
                    </w:rPr>
                  </w:pPr>
                  <w:r>
                    <w:rPr>
                      <w:rFonts w:ascii="National 2" w:hAnsi="National 2" w:cs="Calibri"/>
                      <w:color w:val="000000"/>
                      <w:sz w:val="18"/>
                      <w:szCs w:val="18"/>
                    </w:rPr>
                    <w:t>65,000</w:t>
                  </w:r>
                </w:p>
              </w:tc>
              <w:tc>
                <w:tcPr>
                  <w:tcW w:w="1134" w:type="dxa"/>
                  <w:shd w:val="clear" w:color="auto" w:fill="E2EFD9" w:themeFill="accent6" w:themeFillTint="33"/>
                  <w:vAlign w:val="bottom"/>
                </w:tcPr>
                <w:p w14:paraId="4047A770" w14:textId="645EC66C" w:rsidR="00993F9D" w:rsidRPr="0067445C" w:rsidRDefault="00993F9D" w:rsidP="00993F9D">
                  <w:pPr>
                    <w:jc w:val="center"/>
                    <w:rPr>
                      <w:rFonts w:ascii="National 2" w:hAnsi="National 2" w:cs="Calibri"/>
                      <w:color w:val="000000"/>
                      <w:sz w:val="18"/>
                      <w:szCs w:val="18"/>
                    </w:rPr>
                  </w:pPr>
                  <w:r w:rsidRPr="0067445C">
                    <w:rPr>
                      <w:rFonts w:ascii="National 2" w:hAnsi="National 2" w:cs="Calibri"/>
                      <w:color w:val="000000"/>
                      <w:sz w:val="18"/>
                      <w:szCs w:val="18"/>
                    </w:rPr>
                    <w:t>13%</w:t>
                  </w:r>
                </w:p>
              </w:tc>
              <w:tc>
                <w:tcPr>
                  <w:tcW w:w="1134" w:type="dxa"/>
                  <w:shd w:val="clear" w:color="auto" w:fill="E2EFD9" w:themeFill="accent6" w:themeFillTint="33"/>
                  <w:vAlign w:val="bottom"/>
                </w:tcPr>
                <w:p w14:paraId="17EF5818" w14:textId="77777777" w:rsidR="00993F9D" w:rsidRPr="0067445C" w:rsidRDefault="00993F9D" w:rsidP="00993F9D">
                  <w:pPr>
                    <w:jc w:val="center"/>
                    <w:rPr>
                      <w:rFonts w:ascii="National 2" w:hAnsi="National 2" w:cs="Calibri"/>
                      <w:color w:val="000000"/>
                      <w:sz w:val="18"/>
                      <w:szCs w:val="18"/>
                    </w:rPr>
                  </w:pPr>
                  <w:r w:rsidRPr="0067445C">
                    <w:rPr>
                      <w:rFonts w:ascii="National 2" w:hAnsi="National 2" w:cs="Calibri"/>
                      <w:color w:val="000000"/>
                      <w:sz w:val="18"/>
                      <w:szCs w:val="18"/>
                    </w:rPr>
                    <w:t>15%</w:t>
                  </w:r>
                </w:p>
              </w:tc>
            </w:tr>
            <w:tr w:rsidR="00993F9D" w:rsidRPr="00D17D0B" w14:paraId="16C02036" w14:textId="77777777" w:rsidTr="00D51BCA">
              <w:tc>
                <w:tcPr>
                  <w:tcW w:w="3315" w:type="dxa"/>
                  <w:shd w:val="clear" w:color="auto" w:fill="E2EFD9" w:themeFill="accent6" w:themeFillTint="33"/>
                  <w:vAlign w:val="bottom"/>
                </w:tcPr>
                <w:p w14:paraId="04766975" w14:textId="77777777" w:rsidR="00993F9D" w:rsidRPr="0067445C" w:rsidRDefault="00993F9D" w:rsidP="00993F9D">
                  <w:pPr>
                    <w:rPr>
                      <w:rFonts w:ascii="National 2" w:hAnsi="National 2" w:cs="Calibri"/>
                      <w:color w:val="000000"/>
                      <w:sz w:val="18"/>
                      <w:szCs w:val="18"/>
                    </w:rPr>
                  </w:pPr>
                  <w:r w:rsidRPr="0067445C">
                    <w:rPr>
                      <w:rFonts w:ascii="National 2" w:hAnsi="National 2" w:cs="Calibri"/>
                      <w:color w:val="000000"/>
                      <w:sz w:val="18"/>
                      <w:szCs w:val="18"/>
                    </w:rPr>
                    <w:t>Financial &amp; Insurance Services</w:t>
                  </w:r>
                </w:p>
              </w:tc>
              <w:tc>
                <w:tcPr>
                  <w:tcW w:w="1701" w:type="dxa"/>
                  <w:shd w:val="clear" w:color="auto" w:fill="E2EFD9" w:themeFill="accent6" w:themeFillTint="33"/>
                  <w:vAlign w:val="bottom"/>
                </w:tcPr>
                <w:p w14:paraId="4DB863D4" w14:textId="53BC3085" w:rsidR="00993F9D" w:rsidRPr="0067445C" w:rsidRDefault="00993F9D" w:rsidP="00993F9D">
                  <w:pPr>
                    <w:jc w:val="center"/>
                    <w:rPr>
                      <w:rFonts w:ascii="National 2" w:hAnsi="National 2" w:cs="Calibri"/>
                      <w:color w:val="000000"/>
                      <w:sz w:val="18"/>
                      <w:szCs w:val="18"/>
                    </w:rPr>
                  </w:pPr>
                  <w:r w:rsidRPr="0067445C">
                    <w:rPr>
                      <w:rFonts w:ascii="National 2" w:hAnsi="National 2" w:cs="Calibri"/>
                      <w:color w:val="000000"/>
                      <w:sz w:val="18"/>
                      <w:szCs w:val="18"/>
                    </w:rPr>
                    <w:t>6</w:t>
                  </w:r>
                  <w:r>
                    <w:rPr>
                      <w:rFonts w:ascii="National 2" w:hAnsi="National 2" w:cs="Calibri"/>
                      <w:color w:val="000000"/>
                      <w:sz w:val="18"/>
                      <w:szCs w:val="18"/>
                    </w:rPr>
                    <w:t>,</w:t>
                  </w:r>
                  <w:r w:rsidRPr="0067445C">
                    <w:rPr>
                      <w:rFonts w:ascii="National 2" w:hAnsi="National 2" w:cs="Calibri"/>
                      <w:color w:val="000000"/>
                      <w:sz w:val="18"/>
                      <w:szCs w:val="18"/>
                    </w:rPr>
                    <w:t>100</w:t>
                  </w:r>
                </w:p>
              </w:tc>
              <w:tc>
                <w:tcPr>
                  <w:tcW w:w="1134" w:type="dxa"/>
                  <w:shd w:val="clear" w:color="auto" w:fill="E2EFD9" w:themeFill="accent6" w:themeFillTint="33"/>
                </w:tcPr>
                <w:p w14:paraId="74888B48" w14:textId="07F26311" w:rsidR="00993F9D" w:rsidRPr="0067445C" w:rsidRDefault="00993F9D" w:rsidP="00993F9D">
                  <w:pPr>
                    <w:jc w:val="center"/>
                    <w:rPr>
                      <w:rFonts w:ascii="National 2" w:hAnsi="National 2" w:cs="Calibri"/>
                      <w:color w:val="000000"/>
                      <w:sz w:val="18"/>
                      <w:szCs w:val="18"/>
                    </w:rPr>
                  </w:pPr>
                  <w:r>
                    <w:rPr>
                      <w:rFonts w:ascii="National 2" w:hAnsi="National 2" w:cs="Calibri"/>
                      <w:color w:val="000000"/>
                      <w:sz w:val="18"/>
                      <w:szCs w:val="18"/>
                    </w:rPr>
                    <w:t>32,900</w:t>
                  </w:r>
                </w:p>
              </w:tc>
              <w:tc>
                <w:tcPr>
                  <w:tcW w:w="1134" w:type="dxa"/>
                  <w:shd w:val="clear" w:color="auto" w:fill="E2EFD9" w:themeFill="accent6" w:themeFillTint="33"/>
                  <w:vAlign w:val="bottom"/>
                </w:tcPr>
                <w:p w14:paraId="35DA89F1" w14:textId="72F678E3" w:rsidR="00993F9D" w:rsidRPr="0067445C" w:rsidRDefault="00993F9D" w:rsidP="00993F9D">
                  <w:pPr>
                    <w:jc w:val="center"/>
                    <w:rPr>
                      <w:rFonts w:ascii="National 2" w:hAnsi="National 2" w:cs="Calibri"/>
                      <w:color w:val="000000"/>
                      <w:sz w:val="18"/>
                      <w:szCs w:val="18"/>
                    </w:rPr>
                  </w:pPr>
                  <w:r w:rsidRPr="0067445C">
                    <w:rPr>
                      <w:rFonts w:ascii="National 2" w:hAnsi="National 2" w:cs="Calibri"/>
                      <w:color w:val="000000"/>
                      <w:sz w:val="18"/>
                      <w:szCs w:val="18"/>
                    </w:rPr>
                    <w:t>23%</w:t>
                  </w:r>
                </w:p>
              </w:tc>
              <w:tc>
                <w:tcPr>
                  <w:tcW w:w="1134" w:type="dxa"/>
                  <w:shd w:val="clear" w:color="auto" w:fill="E2EFD9" w:themeFill="accent6" w:themeFillTint="33"/>
                  <w:vAlign w:val="bottom"/>
                </w:tcPr>
                <w:p w14:paraId="1BEAB8CC" w14:textId="77777777" w:rsidR="00993F9D" w:rsidRPr="0067445C" w:rsidRDefault="00993F9D" w:rsidP="00993F9D">
                  <w:pPr>
                    <w:jc w:val="center"/>
                    <w:rPr>
                      <w:rFonts w:ascii="National 2" w:hAnsi="National 2" w:cs="Calibri"/>
                      <w:color w:val="000000"/>
                      <w:sz w:val="18"/>
                      <w:szCs w:val="18"/>
                    </w:rPr>
                  </w:pPr>
                  <w:r w:rsidRPr="0067445C">
                    <w:rPr>
                      <w:rFonts w:ascii="National 2" w:hAnsi="National 2" w:cs="Calibri"/>
                      <w:color w:val="000000"/>
                      <w:sz w:val="18"/>
                      <w:szCs w:val="18"/>
                    </w:rPr>
                    <w:t>17%</w:t>
                  </w:r>
                </w:p>
              </w:tc>
            </w:tr>
            <w:tr w:rsidR="00993F9D" w:rsidRPr="00D17D0B" w14:paraId="1AE0A69A" w14:textId="77777777" w:rsidTr="00D51BCA">
              <w:tc>
                <w:tcPr>
                  <w:tcW w:w="3315" w:type="dxa"/>
                  <w:shd w:val="clear" w:color="auto" w:fill="E2EFD9" w:themeFill="accent6" w:themeFillTint="33"/>
                  <w:vAlign w:val="bottom"/>
                </w:tcPr>
                <w:p w14:paraId="63A070A3" w14:textId="77777777" w:rsidR="00993F9D" w:rsidRPr="0067445C" w:rsidRDefault="00993F9D" w:rsidP="00993F9D">
                  <w:pPr>
                    <w:rPr>
                      <w:rFonts w:ascii="National 2" w:hAnsi="National 2" w:cs="Calibri"/>
                      <w:color w:val="000000"/>
                      <w:sz w:val="18"/>
                      <w:szCs w:val="18"/>
                    </w:rPr>
                  </w:pPr>
                  <w:r w:rsidRPr="0067445C">
                    <w:rPr>
                      <w:rFonts w:ascii="National 2" w:hAnsi="National 2" w:cs="Calibri"/>
                      <w:color w:val="000000"/>
                      <w:sz w:val="18"/>
                      <w:szCs w:val="18"/>
                    </w:rPr>
                    <w:t>Transp</w:t>
                  </w:r>
                  <w:r>
                    <w:rPr>
                      <w:rFonts w:ascii="National 2" w:hAnsi="National 2" w:cs="Calibri"/>
                      <w:color w:val="000000"/>
                      <w:sz w:val="18"/>
                      <w:szCs w:val="18"/>
                    </w:rPr>
                    <w:t>ort</w:t>
                  </w:r>
                  <w:r w:rsidRPr="0067445C">
                    <w:rPr>
                      <w:rFonts w:ascii="National 2" w:hAnsi="National 2" w:cs="Calibri"/>
                      <w:color w:val="000000"/>
                      <w:sz w:val="18"/>
                      <w:szCs w:val="18"/>
                    </w:rPr>
                    <w:t>, Postal &amp; Warehousing</w:t>
                  </w:r>
                </w:p>
              </w:tc>
              <w:tc>
                <w:tcPr>
                  <w:tcW w:w="1701" w:type="dxa"/>
                  <w:shd w:val="clear" w:color="auto" w:fill="E2EFD9" w:themeFill="accent6" w:themeFillTint="33"/>
                  <w:vAlign w:val="bottom"/>
                </w:tcPr>
                <w:p w14:paraId="1D0DFFD3" w14:textId="0FEFC6A2" w:rsidR="00993F9D" w:rsidRPr="0067445C" w:rsidRDefault="00993F9D" w:rsidP="00993F9D">
                  <w:pPr>
                    <w:jc w:val="center"/>
                    <w:rPr>
                      <w:rFonts w:ascii="National 2" w:hAnsi="National 2" w:cs="Calibri"/>
                      <w:color w:val="000000"/>
                      <w:sz w:val="18"/>
                      <w:szCs w:val="18"/>
                    </w:rPr>
                  </w:pPr>
                  <w:r w:rsidRPr="0067445C">
                    <w:rPr>
                      <w:rFonts w:ascii="National 2" w:hAnsi="National 2" w:cs="Calibri"/>
                      <w:color w:val="000000"/>
                      <w:sz w:val="18"/>
                      <w:szCs w:val="18"/>
                    </w:rPr>
                    <w:t>5</w:t>
                  </w:r>
                  <w:r>
                    <w:rPr>
                      <w:rFonts w:ascii="National 2" w:hAnsi="National 2" w:cs="Calibri"/>
                      <w:color w:val="000000"/>
                      <w:sz w:val="18"/>
                      <w:szCs w:val="18"/>
                    </w:rPr>
                    <w:t>,</w:t>
                  </w:r>
                  <w:r w:rsidRPr="0067445C">
                    <w:rPr>
                      <w:rFonts w:ascii="National 2" w:hAnsi="National 2" w:cs="Calibri"/>
                      <w:color w:val="000000"/>
                      <w:sz w:val="18"/>
                      <w:szCs w:val="18"/>
                    </w:rPr>
                    <w:t>500</w:t>
                  </w:r>
                </w:p>
              </w:tc>
              <w:tc>
                <w:tcPr>
                  <w:tcW w:w="1134" w:type="dxa"/>
                  <w:shd w:val="clear" w:color="auto" w:fill="E2EFD9" w:themeFill="accent6" w:themeFillTint="33"/>
                </w:tcPr>
                <w:p w14:paraId="58754077" w14:textId="78CF3EAA" w:rsidR="00993F9D" w:rsidRPr="0067445C" w:rsidRDefault="00993F9D" w:rsidP="00993F9D">
                  <w:pPr>
                    <w:jc w:val="center"/>
                    <w:rPr>
                      <w:rFonts w:ascii="National 2" w:hAnsi="National 2" w:cs="Calibri"/>
                      <w:color w:val="000000"/>
                      <w:sz w:val="18"/>
                      <w:szCs w:val="18"/>
                    </w:rPr>
                  </w:pPr>
                  <w:r>
                    <w:rPr>
                      <w:rFonts w:ascii="National 2" w:hAnsi="National 2" w:cs="Calibri"/>
                      <w:color w:val="000000"/>
                      <w:sz w:val="18"/>
                      <w:szCs w:val="18"/>
                    </w:rPr>
                    <w:t>37,900</w:t>
                  </w:r>
                </w:p>
              </w:tc>
              <w:tc>
                <w:tcPr>
                  <w:tcW w:w="1134" w:type="dxa"/>
                  <w:shd w:val="clear" w:color="auto" w:fill="E2EFD9" w:themeFill="accent6" w:themeFillTint="33"/>
                  <w:vAlign w:val="bottom"/>
                </w:tcPr>
                <w:p w14:paraId="3D1BF6A1" w14:textId="23B456DE" w:rsidR="00993F9D" w:rsidRPr="0067445C" w:rsidRDefault="00993F9D" w:rsidP="00993F9D">
                  <w:pPr>
                    <w:jc w:val="center"/>
                    <w:rPr>
                      <w:rFonts w:ascii="National 2" w:hAnsi="National 2" w:cs="Calibri"/>
                      <w:color w:val="000000"/>
                      <w:sz w:val="18"/>
                      <w:szCs w:val="18"/>
                    </w:rPr>
                  </w:pPr>
                  <w:r w:rsidRPr="0067445C">
                    <w:rPr>
                      <w:rFonts w:ascii="National 2" w:hAnsi="National 2" w:cs="Calibri"/>
                      <w:color w:val="000000"/>
                      <w:sz w:val="18"/>
                      <w:szCs w:val="18"/>
                    </w:rPr>
                    <w:t>17%</w:t>
                  </w:r>
                </w:p>
              </w:tc>
              <w:tc>
                <w:tcPr>
                  <w:tcW w:w="1134" w:type="dxa"/>
                  <w:shd w:val="clear" w:color="auto" w:fill="E2EFD9" w:themeFill="accent6" w:themeFillTint="33"/>
                  <w:vAlign w:val="bottom"/>
                </w:tcPr>
                <w:p w14:paraId="74D14212" w14:textId="77777777" w:rsidR="00993F9D" w:rsidRPr="0067445C" w:rsidRDefault="00993F9D" w:rsidP="00993F9D">
                  <w:pPr>
                    <w:jc w:val="center"/>
                    <w:rPr>
                      <w:rFonts w:ascii="National 2" w:hAnsi="National 2" w:cs="Calibri"/>
                      <w:color w:val="000000"/>
                      <w:sz w:val="18"/>
                      <w:szCs w:val="18"/>
                    </w:rPr>
                  </w:pPr>
                  <w:r w:rsidRPr="0067445C">
                    <w:rPr>
                      <w:rFonts w:ascii="National 2" w:hAnsi="National 2" w:cs="Calibri"/>
                      <w:color w:val="000000"/>
                      <w:sz w:val="18"/>
                      <w:szCs w:val="18"/>
                    </w:rPr>
                    <w:t>12%</w:t>
                  </w:r>
                </w:p>
              </w:tc>
            </w:tr>
            <w:tr w:rsidR="00993F9D" w:rsidRPr="00D17D0B" w14:paraId="1EFBC8D1" w14:textId="77777777" w:rsidTr="00D51BCA">
              <w:tc>
                <w:tcPr>
                  <w:tcW w:w="3315" w:type="dxa"/>
                  <w:shd w:val="clear" w:color="auto" w:fill="FBE4D5" w:themeFill="accent2" w:themeFillTint="33"/>
                  <w:vAlign w:val="bottom"/>
                </w:tcPr>
                <w:p w14:paraId="5A94FD0A" w14:textId="77777777" w:rsidR="00993F9D" w:rsidRPr="0067445C" w:rsidRDefault="00993F9D" w:rsidP="00993F9D">
                  <w:pPr>
                    <w:rPr>
                      <w:rFonts w:ascii="National 2" w:hAnsi="National 2" w:cs="Calibri"/>
                      <w:color w:val="1B324F"/>
                      <w:sz w:val="18"/>
                      <w:szCs w:val="18"/>
                      <w:highlight w:val="yellow"/>
                    </w:rPr>
                  </w:pPr>
                  <w:r w:rsidRPr="0067445C">
                    <w:rPr>
                      <w:rFonts w:ascii="National 2" w:hAnsi="National 2" w:cs="Calibri"/>
                      <w:color w:val="000000"/>
                      <w:sz w:val="18"/>
                      <w:szCs w:val="18"/>
                    </w:rPr>
                    <w:t>Information Media &amp; Telecoms</w:t>
                  </w:r>
                </w:p>
              </w:tc>
              <w:tc>
                <w:tcPr>
                  <w:tcW w:w="1701" w:type="dxa"/>
                  <w:shd w:val="clear" w:color="auto" w:fill="FBE4D5" w:themeFill="accent2" w:themeFillTint="33"/>
                  <w:vAlign w:val="bottom"/>
                </w:tcPr>
                <w:p w14:paraId="20BC5774" w14:textId="22A25F59" w:rsidR="00993F9D" w:rsidRPr="0067445C" w:rsidRDefault="00993F9D" w:rsidP="00993F9D">
                  <w:pPr>
                    <w:jc w:val="center"/>
                    <w:rPr>
                      <w:rFonts w:ascii="National 2" w:hAnsi="National 2" w:cs="Calibri"/>
                      <w:color w:val="1B324F"/>
                      <w:sz w:val="18"/>
                      <w:szCs w:val="18"/>
                      <w:highlight w:val="yellow"/>
                    </w:rPr>
                  </w:pPr>
                  <w:r w:rsidRPr="0067445C">
                    <w:rPr>
                      <w:rFonts w:ascii="National 2" w:hAnsi="National 2" w:cs="Calibri"/>
                      <w:color w:val="000000"/>
                      <w:sz w:val="18"/>
                      <w:szCs w:val="18"/>
                    </w:rPr>
                    <w:t>-2,200</w:t>
                  </w:r>
                </w:p>
              </w:tc>
              <w:tc>
                <w:tcPr>
                  <w:tcW w:w="1134" w:type="dxa"/>
                  <w:shd w:val="clear" w:color="auto" w:fill="FBE4D5" w:themeFill="accent2" w:themeFillTint="33"/>
                </w:tcPr>
                <w:p w14:paraId="48A0AEA7" w14:textId="4CE7035F" w:rsidR="00993F9D" w:rsidRPr="0067445C" w:rsidRDefault="00993F9D" w:rsidP="00993F9D">
                  <w:pPr>
                    <w:jc w:val="center"/>
                    <w:rPr>
                      <w:rFonts w:ascii="National 2" w:hAnsi="National 2" w:cs="Calibri"/>
                      <w:color w:val="000000"/>
                      <w:sz w:val="18"/>
                      <w:szCs w:val="18"/>
                    </w:rPr>
                  </w:pPr>
                  <w:r>
                    <w:rPr>
                      <w:rFonts w:ascii="National 2" w:hAnsi="National 2" w:cs="Calibri"/>
                      <w:color w:val="000000"/>
                      <w:sz w:val="18"/>
                      <w:szCs w:val="18"/>
                    </w:rPr>
                    <w:t>16,900</w:t>
                  </w:r>
                </w:p>
              </w:tc>
              <w:tc>
                <w:tcPr>
                  <w:tcW w:w="1134" w:type="dxa"/>
                  <w:shd w:val="clear" w:color="auto" w:fill="FBE4D5" w:themeFill="accent2" w:themeFillTint="33"/>
                  <w:vAlign w:val="bottom"/>
                </w:tcPr>
                <w:p w14:paraId="7473C96A" w14:textId="6DB4B56B" w:rsidR="00993F9D" w:rsidRPr="0067445C" w:rsidRDefault="00993F9D" w:rsidP="00993F9D">
                  <w:pPr>
                    <w:jc w:val="center"/>
                    <w:rPr>
                      <w:rFonts w:ascii="National 2" w:hAnsi="National 2" w:cs="Calibri"/>
                      <w:color w:val="1B324F"/>
                      <w:sz w:val="18"/>
                      <w:szCs w:val="18"/>
                      <w:highlight w:val="yellow"/>
                    </w:rPr>
                  </w:pPr>
                  <w:r w:rsidRPr="0067445C">
                    <w:rPr>
                      <w:rFonts w:ascii="National 2" w:hAnsi="National 2" w:cs="Calibri"/>
                      <w:color w:val="000000"/>
                      <w:sz w:val="18"/>
                      <w:szCs w:val="18"/>
                    </w:rPr>
                    <w:t>-12%</w:t>
                  </w:r>
                </w:p>
              </w:tc>
              <w:tc>
                <w:tcPr>
                  <w:tcW w:w="1134" w:type="dxa"/>
                  <w:shd w:val="clear" w:color="auto" w:fill="FBE4D5" w:themeFill="accent2" w:themeFillTint="33"/>
                  <w:vAlign w:val="bottom"/>
                </w:tcPr>
                <w:p w14:paraId="1902E444" w14:textId="77777777" w:rsidR="00993F9D" w:rsidRPr="0067445C" w:rsidRDefault="00993F9D" w:rsidP="00993F9D">
                  <w:pPr>
                    <w:jc w:val="center"/>
                    <w:rPr>
                      <w:rFonts w:ascii="National 2" w:hAnsi="National 2" w:cs="Calibri"/>
                      <w:color w:val="1B324F"/>
                      <w:sz w:val="18"/>
                      <w:szCs w:val="18"/>
                      <w:highlight w:val="yellow"/>
                    </w:rPr>
                  </w:pPr>
                  <w:r w:rsidRPr="0067445C">
                    <w:rPr>
                      <w:rFonts w:ascii="National 2" w:hAnsi="National 2" w:cs="Calibri"/>
                      <w:color w:val="000000"/>
                      <w:sz w:val="18"/>
                      <w:szCs w:val="18"/>
                    </w:rPr>
                    <w:t>-15%</w:t>
                  </w:r>
                </w:p>
              </w:tc>
            </w:tr>
          </w:tbl>
          <w:p w14:paraId="500DD111" w14:textId="788A45AF" w:rsidR="00993F9D" w:rsidRPr="005F40F2" w:rsidRDefault="00993F9D" w:rsidP="00993F9D">
            <w:pPr>
              <w:spacing w:before="120" w:after="120"/>
              <w:rPr>
                <w:rFonts w:ascii="National 2" w:hAnsi="National 2"/>
                <w:sz w:val="18"/>
                <w:szCs w:val="18"/>
              </w:rPr>
            </w:pPr>
          </w:p>
        </w:tc>
        <w:tc>
          <w:tcPr>
            <w:tcW w:w="6237" w:type="dxa"/>
          </w:tcPr>
          <w:p w14:paraId="01F1964B" w14:textId="77777777" w:rsidR="00993F9D" w:rsidRPr="00583EE8" w:rsidRDefault="00993F9D" w:rsidP="00993F9D">
            <w:pPr>
              <w:rPr>
                <w:rFonts w:ascii="National 2" w:hAnsi="National 2"/>
                <w:sz w:val="10"/>
                <w:szCs w:val="10"/>
                <w:highlight w:val="yellow"/>
              </w:rPr>
            </w:pPr>
          </w:p>
          <w:tbl>
            <w:tblPr>
              <w:tblStyle w:val="TableGrid"/>
              <w:tblW w:w="6095" w:type="dxa"/>
              <w:tblLayout w:type="fixed"/>
              <w:tblLook w:val="04A0" w:firstRow="1" w:lastRow="0" w:firstColumn="1" w:lastColumn="0" w:noHBand="0" w:noVBand="1"/>
            </w:tblPr>
            <w:tblGrid>
              <w:gridCol w:w="4278"/>
              <w:gridCol w:w="992"/>
              <w:gridCol w:w="825"/>
            </w:tblGrid>
            <w:tr w:rsidR="00993F9D" w:rsidRPr="00583EE8" w14:paraId="50E73756" w14:textId="77777777" w:rsidTr="00642A50">
              <w:tc>
                <w:tcPr>
                  <w:tcW w:w="4278" w:type="dxa"/>
                  <w:vAlign w:val="center"/>
                </w:tcPr>
                <w:p w14:paraId="2C1F6F66" w14:textId="77777777" w:rsidR="00993F9D" w:rsidRPr="00306DE5" w:rsidRDefault="00993F9D" w:rsidP="00993F9D">
                  <w:pPr>
                    <w:rPr>
                      <w:rFonts w:ascii="National 2" w:hAnsi="National 2"/>
                      <w:b/>
                      <w:bCs/>
                      <w:color w:val="1B384F"/>
                      <w:sz w:val="18"/>
                      <w:szCs w:val="18"/>
                    </w:rPr>
                  </w:pPr>
                  <w:r w:rsidRPr="00306DE5">
                    <w:rPr>
                      <w:rFonts w:ascii="National 2" w:hAnsi="National 2" w:cs="Calibri"/>
                      <w:b/>
                      <w:bCs/>
                      <w:color w:val="1B384F"/>
                      <w:sz w:val="18"/>
                      <w:szCs w:val="18"/>
                    </w:rPr>
                    <w:t>Retail Trade</w:t>
                  </w:r>
                </w:p>
              </w:tc>
              <w:tc>
                <w:tcPr>
                  <w:tcW w:w="992" w:type="dxa"/>
                  <w:vAlign w:val="bottom"/>
                </w:tcPr>
                <w:p w14:paraId="4D015FB8" w14:textId="77777777" w:rsidR="00993F9D" w:rsidRPr="00306DE5" w:rsidRDefault="00993F9D" w:rsidP="00993F9D">
                  <w:pPr>
                    <w:jc w:val="center"/>
                    <w:rPr>
                      <w:rFonts w:ascii="National 2" w:hAnsi="National 2"/>
                      <w:b/>
                      <w:bCs/>
                      <w:color w:val="1B384F"/>
                      <w:sz w:val="18"/>
                      <w:szCs w:val="18"/>
                    </w:rPr>
                  </w:pPr>
                  <w:r w:rsidRPr="00306DE5">
                    <w:rPr>
                      <w:rFonts w:ascii="National 2" w:hAnsi="National 2" w:cs="Calibri"/>
                      <w:b/>
                      <w:bCs/>
                      <w:color w:val="1B384F"/>
                      <w:sz w:val="18"/>
                      <w:szCs w:val="18"/>
                    </w:rPr>
                    <w:t>Jobs</w:t>
                  </w:r>
                </w:p>
              </w:tc>
              <w:tc>
                <w:tcPr>
                  <w:tcW w:w="825" w:type="dxa"/>
                  <w:vAlign w:val="bottom"/>
                </w:tcPr>
                <w:p w14:paraId="48C1E125" w14:textId="77777777" w:rsidR="00993F9D" w:rsidRPr="00306DE5" w:rsidRDefault="00993F9D" w:rsidP="00993F9D">
                  <w:pPr>
                    <w:jc w:val="center"/>
                    <w:rPr>
                      <w:rFonts w:ascii="National 2" w:hAnsi="National 2"/>
                      <w:b/>
                      <w:bCs/>
                      <w:color w:val="1B384F"/>
                      <w:sz w:val="18"/>
                      <w:szCs w:val="18"/>
                    </w:rPr>
                  </w:pPr>
                  <w:r w:rsidRPr="00306DE5">
                    <w:rPr>
                      <w:rFonts w:ascii="National 2" w:hAnsi="National 2" w:cs="Calibri"/>
                      <w:b/>
                      <w:bCs/>
                      <w:color w:val="1B384F"/>
                      <w:sz w:val="18"/>
                      <w:szCs w:val="18"/>
                    </w:rPr>
                    <w:t>LQ</w:t>
                  </w:r>
                </w:p>
              </w:tc>
            </w:tr>
            <w:tr w:rsidR="00993F9D" w:rsidRPr="00583EE8" w14:paraId="1F5EAA2B" w14:textId="77777777" w:rsidTr="00642A50">
              <w:tc>
                <w:tcPr>
                  <w:tcW w:w="4278" w:type="dxa"/>
                  <w:vAlign w:val="bottom"/>
                </w:tcPr>
                <w:p w14:paraId="5142B17D" w14:textId="77777777" w:rsidR="00993F9D" w:rsidRPr="00583EE8" w:rsidRDefault="00993F9D" w:rsidP="00993F9D">
                  <w:pPr>
                    <w:rPr>
                      <w:rFonts w:ascii="National 2" w:hAnsi="National 2" w:cs="Calibri"/>
                      <w:sz w:val="18"/>
                      <w:szCs w:val="18"/>
                    </w:rPr>
                  </w:pPr>
                  <w:r w:rsidRPr="00583EE8">
                    <w:rPr>
                      <w:rFonts w:ascii="National 2" w:hAnsi="National 2" w:cs="Calibri"/>
                      <w:sz w:val="18"/>
                      <w:szCs w:val="18"/>
                    </w:rPr>
                    <w:t>Supermarkets &amp; Grocery Stores</w:t>
                  </w:r>
                </w:p>
              </w:tc>
              <w:tc>
                <w:tcPr>
                  <w:tcW w:w="992" w:type="dxa"/>
                  <w:vAlign w:val="bottom"/>
                </w:tcPr>
                <w:p w14:paraId="069FDAAF" w14:textId="77777777" w:rsidR="00993F9D" w:rsidRPr="00583EE8" w:rsidRDefault="00993F9D" w:rsidP="00993F9D">
                  <w:pPr>
                    <w:jc w:val="center"/>
                    <w:rPr>
                      <w:rFonts w:ascii="National 2" w:hAnsi="National 2" w:cs="Arial"/>
                      <w:sz w:val="18"/>
                      <w:szCs w:val="18"/>
                    </w:rPr>
                  </w:pPr>
                  <w:r w:rsidRPr="00583EE8">
                    <w:rPr>
                      <w:rFonts w:ascii="National 2" w:hAnsi="National 2" w:cs="Arial"/>
                      <w:sz w:val="18"/>
                      <w:szCs w:val="18"/>
                    </w:rPr>
                    <w:t>17,600</w:t>
                  </w:r>
                </w:p>
              </w:tc>
              <w:tc>
                <w:tcPr>
                  <w:tcW w:w="825" w:type="dxa"/>
                  <w:shd w:val="clear" w:color="auto" w:fill="auto"/>
                  <w:vAlign w:val="bottom"/>
                </w:tcPr>
                <w:p w14:paraId="3D952FFC" w14:textId="77777777" w:rsidR="00993F9D" w:rsidRPr="00583EE8" w:rsidRDefault="00993F9D" w:rsidP="00993F9D">
                  <w:pPr>
                    <w:jc w:val="center"/>
                    <w:rPr>
                      <w:rFonts w:ascii="National 2" w:hAnsi="National 2"/>
                      <w:sz w:val="18"/>
                      <w:szCs w:val="18"/>
                    </w:rPr>
                  </w:pPr>
                  <w:r w:rsidRPr="00583EE8">
                    <w:rPr>
                      <w:rFonts w:ascii="National 2" w:hAnsi="National 2"/>
                      <w:sz w:val="18"/>
                      <w:szCs w:val="18"/>
                    </w:rPr>
                    <w:t>0.8</w:t>
                  </w:r>
                </w:p>
              </w:tc>
            </w:tr>
            <w:tr w:rsidR="00993F9D" w:rsidRPr="00583EE8" w14:paraId="355450E5" w14:textId="77777777" w:rsidTr="00642A50">
              <w:tc>
                <w:tcPr>
                  <w:tcW w:w="4278" w:type="dxa"/>
                  <w:vAlign w:val="bottom"/>
                </w:tcPr>
                <w:p w14:paraId="0DB30260" w14:textId="77777777" w:rsidR="00993F9D" w:rsidRPr="00583EE8" w:rsidRDefault="00993F9D" w:rsidP="00993F9D">
                  <w:pPr>
                    <w:rPr>
                      <w:rFonts w:ascii="National 2" w:hAnsi="National 2" w:cs="Calibri"/>
                      <w:sz w:val="18"/>
                      <w:szCs w:val="18"/>
                    </w:rPr>
                  </w:pPr>
                  <w:r w:rsidRPr="00583EE8">
                    <w:rPr>
                      <w:rFonts w:ascii="National 2" w:hAnsi="National 2" w:cs="Calibri"/>
                      <w:sz w:val="18"/>
                      <w:szCs w:val="18"/>
                    </w:rPr>
                    <w:t>Pharmaceutical &amp; Other Store-Based Retailing</w:t>
                  </w:r>
                </w:p>
              </w:tc>
              <w:tc>
                <w:tcPr>
                  <w:tcW w:w="992" w:type="dxa"/>
                  <w:vAlign w:val="bottom"/>
                </w:tcPr>
                <w:p w14:paraId="276ECCAE" w14:textId="77777777" w:rsidR="00993F9D" w:rsidRPr="00583EE8" w:rsidRDefault="00993F9D" w:rsidP="00993F9D">
                  <w:pPr>
                    <w:jc w:val="center"/>
                    <w:rPr>
                      <w:rFonts w:ascii="National 2" w:hAnsi="National 2" w:cs="Arial"/>
                      <w:sz w:val="18"/>
                      <w:szCs w:val="18"/>
                    </w:rPr>
                  </w:pPr>
                  <w:r w:rsidRPr="00583EE8">
                    <w:rPr>
                      <w:rFonts w:ascii="National 2" w:hAnsi="National 2" w:cs="Arial"/>
                      <w:sz w:val="18"/>
                      <w:szCs w:val="18"/>
                    </w:rPr>
                    <w:t>10,700</w:t>
                  </w:r>
                </w:p>
              </w:tc>
              <w:tc>
                <w:tcPr>
                  <w:tcW w:w="825" w:type="dxa"/>
                  <w:shd w:val="clear" w:color="auto" w:fill="auto"/>
                  <w:vAlign w:val="bottom"/>
                </w:tcPr>
                <w:p w14:paraId="60AF04B4" w14:textId="77777777" w:rsidR="00993F9D" w:rsidRPr="00583EE8" w:rsidRDefault="00993F9D" w:rsidP="00993F9D">
                  <w:pPr>
                    <w:jc w:val="center"/>
                    <w:rPr>
                      <w:rFonts w:ascii="National 2" w:hAnsi="National 2"/>
                      <w:sz w:val="18"/>
                      <w:szCs w:val="18"/>
                    </w:rPr>
                  </w:pPr>
                  <w:r w:rsidRPr="00583EE8">
                    <w:rPr>
                      <w:rFonts w:ascii="National 2" w:hAnsi="National 2"/>
                      <w:sz w:val="18"/>
                      <w:szCs w:val="18"/>
                    </w:rPr>
                    <w:t>1.1</w:t>
                  </w:r>
                </w:p>
              </w:tc>
            </w:tr>
            <w:tr w:rsidR="00993F9D" w:rsidRPr="00583EE8" w14:paraId="76BD7934" w14:textId="77777777" w:rsidTr="00642A50">
              <w:tc>
                <w:tcPr>
                  <w:tcW w:w="4278" w:type="dxa"/>
                  <w:vAlign w:val="bottom"/>
                </w:tcPr>
                <w:p w14:paraId="7EB0436B" w14:textId="77777777" w:rsidR="00993F9D" w:rsidRPr="00583EE8" w:rsidRDefault="00993F9D" w:rsidP="00993F9D">
                  <w:pPr>
                    <w:rPr>
                      <w:rFonts w:ascii="National 2" w:hAnsi="National 2" w:cs="Calibri"/>
                      <w:sz w:val="18"/>
                      <w:szCs w:val="18"/>
                    </w:rPr>
                  </w:pPr>
                  <w:r w:rsidRPr="00583EE8">
                    <w:rPr>
                      <w:rFonts w:ascii="National 2" w:hAnsi="National 2" w:cs="Calibri"/>
                      <w:sz w:val="18"/>
                      <w:szCs w:val="18"/>
                    </w:rPr>
                    <w:t>Clothing, Footwear &amp; Personal Accessories Retai</w:t>
                  </w:r>
                  <w:r>
                    <w:rPr>
                      <w:rFonts w:ascii="National 2" w:hAnsi="National 2" w:cs="Calibri"/>
                      <w:sz w:val="18"/>
                      <w:szCs w:val="18"/>
                    </w:rPr>
                    <w:t>l</w:t>
                  </w:r>
                </w:p>
              </w:tc>
              <w:tc>
                <w:tcPr>
                  <w:tcW w:w="992" w:type="dxa"/>
                  <w:vAlign w:val="bottom"/>
                </w:tcPr>
                <w:p w14:paraId="4B176518" w14:textId="77777777" w:rsidR="00993F9D" w:rsidRPr="00583EE8" w:rsidRDefault="00993F9D" w:rsidP="00993F9D">
                  <w:pPr>
                    <w:jc w:val="center"/>
                    <w:rPr>
                      <w:rFonts w:ascii="National 2" w:hAnsi="National 2" w:cs="Arial"/>
                      <w:sz w:val="18"/>
                      <w:szCs w:val="18"/>
                    </w:rPr>
                  </w:pPr>
                  <w:r w:rsidRPr="00583EE8">
                    <w:rPr>
                      <w:rFonts w:ascii="National 2" w:hAnsi="National 2" w:cs="Arial"/>
                      <w:sz w:val="18"/>
                      <w:szCs w:val="18"/>
                    </w:rPr>
                    <w:t>10,200</w:t>
                  </w:r>
                </w:p>
              </w:tc>
              <w:tc>
                <w:tcPr>
                  <w:tcW w:w="825" w:type="dxa"/>
                  <w:shd w:val="clear" w:color="auto" w:fill="auto"/>
                  <w:vAlign w:val="bottom"/>
                </w:tcPr>
                <w:p w14:paraId="5B8E220F" w14:textId="77777777" w:rsidR="00993F9D" w:rsidRPr="00583EE8" w:rsidRDefault="00993F9D" w:rsidP="00993F9D">
                  <w:pPr>
                    <w:jc w:val="center"/>
                    <w:rPr>
                      <w:rFonts w:ascii="National 2" w:hAnsi="National 2"/>
                      <w:sz w:val="18"/>
                      <w:szCs w:val="18"/>
                    </w:rPr>
                  </w:pPr>
                  <w:r w:rsidRPr="00583EE8">
                    <w:rPr>
                      <w:rFonts w:ascii="National 2" w:hAnsi="National 2"/>
                      <w:sz w:val="18"/>
                      <w:szCs w:val="18"/>
                    </w:rPr>
                    <w:t>1.3</w:t>
                  </w:r>
                </w:p>
              </w:tc>
            </w:tr>
            <w:tr w:rsidR="00993F9D" w:rsidRPr="00583EE8" w14:paraId="428B1427" w14:textId="77777777" w:rsidTr="00642A50">
              <w:tc>
                <w:tcPr>
                  <w:tcW w:w="4278" w:type="dxa"/>
                  <w:vAlign w:val="bottom"/>
                </w:tcPr>
                <w:p w14:paraId="5DDFC556" w14:textId="77777777" w:rsidR="00993F9D" w:rsidRPr="00583EE8" w:rsidRDefault="00993F9D" w:rsidP="00993F9D">
                  <w:pPr>
                    <w:rPr>
                      <w:rFonts w:ascii="National 2" w:hAnsi="National 2" w:cs="Calibri"/>
                      <w:sz w:val="18"/>
                      <w:szCs w:val="18"/>
                    </w:rPr>
                  </w:pPr>
                  <w:r w:rsidRPr="00583EE8">
                    <w:rPr>
                      <w:rFonts w:ascii="National 2" w:hAnsi="National 2" w:cs="Calibri"/>
                      <w:sz w:val="18"/>
                      <w:szCs w:val="18"/>
                    </w:rPr>
                    <w:t>Hardware, Building &amp; Garden Supplies Retailing</w:t>
                  </w:r>
                </w:p>
              </w:tc>
              <w:tc>
                <w:tcPr>
                  <w:tcW w:w="992" w:type="dxa"/>
                  <w:vAlign w:val="bottom"/>
                </w:tcPr>
                <w:p w14:paraId="6CA26169" w14:textId="77777777" w:rsidR="00993F9D" w:rsidRPr="00583EE8" w:rsidRDefault="00993F9D" w:rsidP="00993F9D">
                  <w:pPr>
                    <w:jc w:val="center"/>
                    <w:rPr>
                      <w:rFonts w:ascii="National 2" w:hAnsi="National 2" w:cs="Arial"/>
                      <w:sz w:val="18"/>
                      <w:szCs w:val="18"/>
                    </w:rPr>
                  </w:pPr>
                  <w:r w:rsidRPr="00583EE8">
                    <w:rPr>
                      <w:rFonts w:ascii="National 2" w:hAnsi="National 2" w:cs="Arial"/>
                      <w:sz w:val="18"/>
                      <w:szCs w:val="18"/>
                    </w:rPr>
                    <w:t>8,100</w:t>
                  </w:r>
                </w:p>
              </w:tc>
              <w:tc>
                <w:tcPr>
                  <w:tcW w:w="825" w:type="dxa"/>
                  <w:shd w:val="clear" w:color="auto" w:fill="auto"/>
                  <w:vAlign w:val="bottom"/>
                </w:tcPr>
                <w:p w14:paraId="2C7FEBF0" w14:textId="77777777" w:rsidR="00993F9D" w:rsidRPr="00583EE8" w:rsidRDefault="00993F9D" w:rsidP="00993F9D">
                  <w:pPr>
                    <w:jc w:val="center"/>
                    <w:rPr>
                      <w:rFonts w:ascii="National 2" w:hAnsi="National 2"/>
                      <w:sz w:val="18"/>
                      <w:szCs w:val="18"/>
                    </w:rPr>
                  </w:pPr>
                  <w:r w:rsidRPr="00583EE8">
                    <w:rPr>
                      <w:rFonts w:ascii="National 2" w:hAnsi="National 2"/>
                      <w:sz w:val="18"/>
                      <w:szCs w:val="18"/>
                    </w:rPr>
                    <w:t>0.9</w:t>
                  </w:r>
                </w:p>
              </w:tc>
            </w:tr>
            <w:tr w:rsidR="00993F9D" w:rsidRPr="00583EE8" w14:paraId="7EF34003" w14:textId="77777777" w:rsidTr="00642A50">
              <w:tc>
                <w:tcPr>
                  <w:tcW w:w="4278" w:type="dxa"/>
                  <w:vAlign w:val="bottom"/>
                </w:tcPr>
                <w:p w14:paraId="6C90FE52" w14:textId="77777777" w:rsidR="00993F9D" w:rsidRPr="00583EE8" w:rsidRDefault="00993F9D" w:rsidP="00993F9D">
                  <w:pPr>
                    <w:rPr>
                      <w:rFonts w:ascii="National 2" w:hAnsi="National 2" w:cs="Calibri"/>
                      <w:sz w:val="18"/>
                      <w:szCs w:val="18"/>
                    </w:rPr>
                  </w:pPr>
                  <w:r w:rsidRPr="00583EE8">
                    <w:rPr>
                      <w:rFonts w:ascii="National 2" w:hAnsi="National 2" w:cs="Calibri"/>
                      <w:sz w:val="18"/>
                      <w:szCs w:val="18"/>
                    </w:rPr>
                    <w:t>Department Stores</w:t>
                  </w:r>
                </w:p>
              </w:tc>
              <w:tc>
                <w:tcPr>
                  <w:tcW w:w="992" w:type="dxa"/>
                  <w:vAlign w:val="bottom"/>
                </w:tcPr>
                <w:p w14:paraId="11798E0C" w14:textId="77777777" w:rsidR="00993F9D" w:rsidRPr="00583EE8" w:rsidRDefault="00993F9D" w:rsidP="00993F9D">
                  <w:pPr>
                    <w:jc w:val="center"/>
                    <w:rPr>
                      <w:rFonts w:ascii="National 2" w:hAnsi="National 2" w:cs="Arial"/>
                      <w:sz w:val="18"/>
                      <w:szCs w:val="18"/>
                    </w:rPr>
                  </w:pPr>
                  <w:r w:rsidRPr="00583EE8">
                    <w:rPr>
                      <w:rFonts w:ascii="National 2" w:hAnsi="National 2" w:cs="Arial"/>
                      <w:sz w:val="18"/>
                      <w:szCs w:val="18"/>
                    </w:rPr>
                    <w:t>7,300</w:t>
                  </w:r>
                </w:p>
              </w:tc>
              <w:tc>
                <w:tcPr>
                  <w:tcW w:w="825" w:type="dxa"/>
                  <w:shd w:val="clear" w:color="auto" w:fill="auto"/>
                  <w:vAlign w:val="bottom"/>
                </w:tcPr>
                <w:p w14:paraId="7F4B1861" w14:textId="77777777" w:rsidR="00993F9D" w:rsidRPr="00583EE8" w:rsidRDefault="00993F9D" w:rsidP="00993F9D">
                  <w:pPr>
                    <w:jc w:val="center"/>
                    <w:rPr>
                      <w:rFonts w:ascii="National 2" w:hAnsi="National 2"/>
                      <w:sz w:val="18"/>
                      <w:szCs w:val="18"/>
                    </w:rPr>
                  </w:pPr>
                  <w:r w:rsidRPr="00583EE8">
                    <w:rPr>
                      <w:rFonts w:ascii="National 2" w:hAnsi="National 2"/>
                      <w:sz w:val="18"/>
                      <w:szCs w:val="18"/>
                    </w:rPr>
                    <w:t>1.1</w:t>
                  </w:r>
                </w:p>
              </w:tc>
            </w:tr>
          </w:tbl>
          <w:p w14:paraId="54EBC02E" w14:textId="77777777" w:rsidR="00993F9D" w:rsidRPr="00583EE8" w:rsidRDefault="00993F9D" w:rsidP="00993F9D">
            <w:pPr>
              <w:rPr>
                <w:rFonts w:ascii="National 2" w:hAnsi="National 2"/>
                <w:sz w:val="10"/>
                <w:szCs w:val="10"/>
                <w:highlight w:val="yellow"/>
              </w:rPr>
            </w:pPr>
          </w:p>
          <w:tbl>
            <w:tblPr>
              <w:tblStyle w:val="TableGrid"/>
              <w:tblW w:w="6095" w:type="dxa"/>
              <w:tblLayout w:type="fixed"/>
              <w:tblLook w:val="04A0" w:firstRow="1" w:lastRow="0" w:firstColumn="1" w:lastColumn="0" w:noHBand="0" w:noVBand="1"/>
            </w:tblPr>
            <w:tblGrid>
              <w:gridCol w:w="4277"/>
              <w:gridCol w:w="992"/>
              <w:gridCol w:w="826"/>
            </w:tblGrid>
            <w:tr w:rsidR="00993F9D" w:rsidRPr="00583EE8" w14:paraId="58279F57" w14:textId="77777777" w:rsidTr="00642A50">
              <w:tc>
                <w:tcPr>
                  <w:tcW w:w="4277" w:type="dxa"/>
                  <w:vAlign w:val="bottom"/>
                </w:tcPr>
                <w:p w14:paraId="73387FBF" w14:textId="77777777" w:rsidR="00993F9D" w:rsidRPr="00306DE5" w:rsidRDefault="00993F9D" w:rsidP="00993F9D">
                  <w:pPr>
                    <w:rPr>
                      <w:rFonts w:ascii="National 2" w:hAnsi="National 2"/>
                      <w:b/>
                      <w:bCs/>
                      <w:color w:val="1B384F"/>
                      <w:sz w:val="18"/>
                      <w:szCs w:val="18"/>
                    </w:rPr>
                  </w:pPr>
                  <w:r w:rsidRPr="00306DE5">
                    <w:rPr>
                      <w:rFonts w:ascii="National 2" w:hAnsi="National 2" w:cs="Calibri"/>
                      <w:b/>
                      <w:bCs/>
                      <w:color w:val="1B384F"/>
                      <w:sz w:val="18"/>
                      <w:szCs w:val="18"/>
                    </w:rPr>
                    <w:t>Manufacturing</w:t>
                  </w:r>
                </w:p>
              </w:tc>
              <w:tc>
                <w:tcPr>
                  <w:tcW w:w="992" w:type="dxa"/>
                  <w:vAlign w:val="bottom"/>
                </w:tcPr>
                <w:p w14:paraId="5989B6D3" w14:textId="77777777" w:rsidR="00993F9D" w:rsidRPr="00306DE5" w:rsidRDefault="00993F9D" w:rsidP="00993F9D">
                  <w:pPr>
                    <w:jc w:val="center"/>
                    <w:rPr>
                      <w:rFonts w:ascii="National 2" w:hAnsi="National 2"/>
                      <w:b/>
                      <w:bCs/>
                      <w:color w:val="1B384F"/>
                      <w:sz w:val="18"/>
                      <w:szCs w:val="18"/>
                    </w:rPr>
                  </w:pPr>
                  <w:r w:rsidRPr="00306DE5">
                    <w:rPr>
                      <w:rFonts w:ascii="National 2" w:hAnsi="National 2" w:cs="Calibri"/>
                      <w:b/>
                      <w:bCs/>
                      <w:color w:val="1B384F"/>
                      <w:sz w:val="18"/>
                      <w:szCs w:val="18"/>
                    </w:rPr>
                    <w:t>Jobs</w:t>
                  </w:r>
                </w:p>
              </w:tc>
              <w:tc>
                <w:tcPr>
                  <w:tcW w:w="826" w:type="dxa"/>
                  <w:vAlign w:val="bottom"/>
                </w:tcPr>
                <w:p w14:paraId="1337A0FC" w14:textId="77777777" w:rsidR="00993F9D" w:rsidRPr="00306DE5" w:rsidRDefault="00993F9D" w:rsidP="00993F9D">
                  <w:pPr>
                    <w:jc w:val="center"/>
                    <w:rPr>
                      <w:rFonts w:ascii="National 2" w:hAnsi="National 2"/>
                      <w:b/>
                      <w:bCs/>
                      <w:color w:val="1B384F"/>
                      <w:sz w:val="18"/>
                      <w:szCs w:val="18"/>
                    </w:rPr>
                  </w:pPr>
                  <w:r w:rsidRPr="00306DE5">
                    <w:rPr>
                      <w:rFonts w:ascii="National 2" w:hAnsi="National 2" w:cs="Calibri"/>
                      <w:b/>
                      <w:bCs/>
                      <w:color w:val="1B384F"/>
                      <w:sz w:val="18"/>
                      <w:szCs w:val="18"/>
                    </w:rPr>
                    <w:t>LQ</w:t>
                  </w:r>
                </w:p>
              </w:tc>
            </w:tr>
            <w:tr w:rsidR="00993F9D" w:rsidRPr="00583EE8" w14:paraId="59E77D8E" w14:textId="77777777" w:rsidTr="00642A50">
              <w:tc>
                <w:tcPr>
                  <w:tcW w:w="4277" w:type="dxa"/>
                  <w:vAlign w:val="bottom"/>
                </w:tcPr>
                <w:p w14:paraId="0318A480" w14:textId="77777777" w:rsidR="00993F9D" w:rsidRPr="00583EE8" w:rsidRDefault="00993F9D" w:rsidP="00993F9D">
                  <w:pPr>
                    <w:rPr>
                      <w:rFonts w:ascii="National 2" w:hAnsi="National 2" w:cs="Calibri"/>
                      <w:sz w:val="18"/>
                      <w:szCs w:val="18"/>
                    </w:rPr>
                  </w:pPr>
                  <w:r w:rsidRPr="00583EE8">
                    <w:rPr>
                      <w:rFonts w:ascii="National 2" w:hAnsi="National 2" w:cs="Calibri"/>
                      <w:sz w:val="18"/>
                      <w:szCs w:val="18"/>
                    </w:rPr>
                    <w:t>Other Food Product Manufacturing</w:t>
                  </w:r>
                </w:p>
              </w:tc>
              <w:tc>
                <w:tcPr>
                  <w:tcW w:w="992" w:type="dxa"/>
                  <w:vAlign w:val="bottom"/>
                </w:tcPr>
                <w:p w14:paraId="636B7872"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5,300</w:t>
                  </w:r>
                </w:p>
              </w:tc>
              <w:tc>
                <w:tcPr>
                  <w:tcW w:w="826" w:type="dxa"/>
                  <w:shd w:val="clear" w:color="auto" w:fill="auto"/>
                  <w:vAlign w:val="bottom"/>
                </w:tcPr>
                <w:p w14:paraId="2CF8A53A"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1.5</w:t>
                  </w:r>
                </w:p>
              </w:tc>
            </w:tr>
            <w:tr w:rsidR="00993F9D" w:rsidRPr="00583EE8" w14:paraId="049DB90B" w14:textId="77777777" w:rsidTr="00642A50">
              <w:tc>
                <w:tcPr>
                  <w:tcW w:w="4277" w:type="dxa"/>
                  <w:vAlign w:val="bottom"/>
                </w:tcPr>
                <w:p w14:paraId="20C8A879" w14:textId="77777777" w:rsidR="00993F9D" w:rsidRPr="00583EE8" w:rsidRDefault="00993F9D" w:rsidP="00993F9D">
                  <w:pPr>
                    <w:rPr>
                      <w:rFonts w:ascii="National 2" w:hAnsi="National 2" w:cs="Calibri"/>
                      <w:sz w:val="18"/>
                      <w:szCs w:val="18"/>
                    </w:rPr>
                  </w:pPr>
                  <w:r w:rsidRPr="00583EE8">
                    <w:rPr>
                      <w:rFonts w:ascii="National 2" w:hAnsi="National 2" w:cs="Calibri"/>
                      <w:sz w:val="18"/>
                      <w:szCs w:val="18"/>
                    </w:rPr>
                    <w:t>Prof &amp; Scientific Equipment Manufacturing</w:t>
                  </w:r>
                </w:p>
              </w:tc>
              <w:tc>
                <w:tcPr>
                  <w:tcW w:w="992" w:type="dxa"/>
                  <w:vAlign w:val="bottom"/>
                </w:tcPr>
                <w:p w14:paraId="4CF3F569"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5,300</w:t>
                  </w:r>
                </w:p>
              </w:tc>
              <w:tc>
                <w:tcPr>
                  <w:tcW w:w="826" w:type="dxa"/>
                  <w:shd w:val="clear" w:color="auto" w:fill="E2EFD9" w:themeFill="accent6" w:themeFillTint="33"/>
                  <w:vAlign w:val="bottom"/>
                </w:tcPr>
                <w:p w14:paraId="461A939D"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2.3</w:t>
                  </w:r>
                </w:p>
              </w:tc>
            </w:tr>
            <w:tr w:rsidR="00993F9D" w:rsidRPr="00583EE8" w14:paraId="2C290983" w14:textId="77777777" w:rsidTr="00642A50">
              <w:tc>
                <w:tcPr>
                  <w:tcW w:w="4277" w:type="dxa"/>
                  <w:vAlign w:val="bottom"/>
                </w:tcPr>
                <w:p w14:paraId="31D087A8" w14:textId="77777777" w:rsidR="00993F9D" w:rsidRPr="00583EE8" w:rsidRDefault="00993F9D" w:rsidP="00993F9D">
                  <w:pPr>
                    <w:rPr>
                      <w:rFonts w:ascii="National 2" w:hAnsi="National 2" w:cs="Calibri"/>
                      <w:sz w:val="18"/>
                      <w:szCs w:val="18"/>
                    </w:rPr>
                  </w:pPr>
                  <w:r w:rsidRPr="00583EE8">
                    <w:rPr>
                      <w:rFonts w:ascii="National 2" w:hAnsi="National 2" w:cs="Calibri"/>
                      <w:sz w:val="18"/>
                      <w:szCs w:val="18"/>
                    </w:rPr>
                    <w:t>Structural Metal Product Manufacturing</w:t>
                  </w:r>
                </w:p>
              </w:tc>
              <w:tc>
                <w:tcPr>
                  <w:tcW w:w="992" w:type="dxa"/>
                  <w:vAlign w:val="bottom"/>
                </w:tcPr>
                <w:p w14:paraId="27F0F566"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4,950</w:t>
                  </w:r>
                </w:p>
              </w:tc>
              <w:tc>
                <w:tcPr>
                  <w:tcW w:w="826" w:type="dxa"/>
                  <w:shd w:val="clear" w:color="auto" w:fill="auto"/>
                  <w:vAlign w:val="bottom"/>
                </w:tcPr>
                <w:p w14:paraId="62031AD3"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1.0</w:t>
                  </w:r>
                </w:p>
              </w:tc>
            </w:tr>
            <w:tr w:rsidR="00993F9D" w:rsidRPr="00583EE8" w14:paraId="3AF0BC7B" w14:textId="77777777" w:rsidTr="00642A50">
              <w:tc>
                <w:tcPr>
                  <w:tcW w:w="4277" w:type="dxa"/>
                  <w:vAlign w:val="bottom"/>
                </w:tcPr>
                <w:p w14:paraId="3D5EBFE8" w14:textId="77777777" w:rsidR="00993F9D" w:rsidRPr="00583EE8" w:rsidRDefault="00993F9D" w:rsidP="00993F9D">
                  <w:pPr>
                    <w:rPr>
                      <w:rFonts w:ascii="National 2" w:hAnsi="National 2" w:cs="Calibri"/>
                      <w:sz w:val="18"/>
                      <w:szCs w:val="18"/>
                    </w:rPr>
                  </w:pPr>
                  <w:r w:rsidRPr="00583EE8">
                    <w:rPr>
                      <w:rFonts w:ascii="National 2" w:hAnsi="National 2" w:cs="Calibri"/>
                      <w:sz w:val="18"/>
                      <w:szCs w:val="18"/>
                    </w:rPr>
                    <w:t>Bakery Product Manufacturing</w:t>
                  </w:r>
                </w:p>
              </w:tc>
              <w:tc>
                <w:tcPr>
                  <w:tcW w:w="992" w:type="dxa"/>
                  <w:vAlign w:val="bottom"/>
                </w:tcPr>
                <w:p w14:paraId="76F4EE89"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4,400</w:t>
                  </w:r>
                </w:p>
              </w:tc>
              <w:tc>
                <w:tcPr>
                  <w:tcW w:w="826" w:type="dxa"/>
                  <w:shd w:val="clear" w:color="auto" w:fill="auto"/>
                  <w:vAlign w:val="bottom"/>
                </w:tcPr>
                <w:p w14:paraId="2D6FF402"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1.1</w:t>
                  </w:r>
                </w:p>
              </w:tc>
            </w:tr>
            <w:tr w:rsidR="00993F9D" w:rsidRPr="00583EE8" w14:paraId="74EBDCB4" w14:textId="77777777" w:rsidTr="00642A50">
              <w:tc>
                <w:tcPr>
                  <w:tcW w:w="4277" w:type="dxa"/>
                  <w:vAlign w:val="bottom"/>
                </w:tcPr>
                <w:p w14:paraId="407B86A9" w14:textId="77777777" w:rsidR="00993F9D" w:rsidRPr="00583EE8" w:rsidRDefault="00993F9D" w:rsidP="00993F9D">
                  <w:pPr>
                    <w:rPr>
                      <w:rFonts w:ascii="National 2" w:hAnsi="National 2" w:cs="Calibri"/>
                      <w:sz w:val="18"/>
                      <w:szCs w:val="18"/>
                    </w:rPr>
                  </w:pPr>
                  <w:r w:rsidRPr="00583EE8">
                    <w:rPr>
                      <w:rFonts w:ascii="National 2" w:hAnsi="National 2" w:cs="Calibri"/>
                      <w:sz w:val="18"/>
                      <w:szCs w:val="18"/>
                    </w:rPr>
                    <w:t>Other Fabricated Metal Product Manufacturing</w:t>
                  </w:r>
                </w:p>
              </w:tc>
              <w:tc>
                <w:tcPr>
                  <w:tcW w:w="992" w:type="dxa"/>
                  <w:vAlign w:val="bottom"/>
                </w:tcPr>
                <w:p w14:paraId="5DE9E246"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3,750</w:t>
                  </w:r>
                </w:p>
              </w:tc>
              <w:tc>
                <w:tcPr>
                  <w:tcW w:w="826" w:type="dxa"/>
                  <w:shd w:val="clear" w:color="auto" w:fill="auto"/>
                  <w:vAlign w:val="bottom"/>
                </w:tcPr>
                <w:p w14:paraId="709A924F"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1.3</w:t>
                  </w:r>
                </w:p>
              </w:tc>
            </w:tr>
            <w:tr w:rsidR="00993F9D" w:rsidRPr="00583EE8" w14:paraId="332779DE" w14:textId="77777777" w:rsidTr="00642A50">
              <w:trPr>
                <w:trHeight w:val="163"/>
              </w:trPr>
              <w:tc>
                <w:tcPr>
                  <w:tcW w:w="4277" w:type="dxa"/>
                  <w:vAlign w:val="bottom"/>
                </w:tcPr>
                <w:p w14:paraId="177ED6E9" w14:textId="77777777" w:rsidR="00993F9D" w:rsidRPr="00583EE8" w:rsidRDefault="00993F9D" w:rsidP="00993F9D">
                  <w:pPr>
                    <w:rPr>
                      <w:rFonts w:ascii="National 2" w:hAnsi="National 2" w:cs="Calibri"/>
                      <w:sz w:val="18"/>
                      <w:szCs w:val="18"/>
                    </w:rPr>
                  </w:pPr>
                  <w:r w:rsidRPr="00583EE8">
                    <w:rPr>
                      <w:rFonts w:ascii="National 2" w:hAnsi="National 2" w:cs="Calibri"/>
                      <w:sz w:val="18"/>
                      <w:szCs w:val="18"/>
                    </w:rPr>
                    <w:t>Beverage Manufacturing</w:t>
                  </w:r>
                </w:p>
              </w:tc>
              <w:tc>
                <w:tcPr>
                  <w:tcW w:w="992" w:type="dxa"/>
                  <w:vAlign w:val="bottom"/>
                </w:tcPr>
                <w:p w14:paraId="7807634F"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3,500</w:t>
                  </w:r>
                </w:p>
              </w:tc>
              <w:tc>
                <w:tcPr>
                  <w:tcW w:w="826" w:type="dxa"/>
                  <w:shd w:val="clear" w:color="auto" w:fill="auto"/>
                  <w:vAlign w:val="bottom"/>
                </w:tcPr>
                <w:p w14:paraId="4E79D685"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1.2</w:t>
                  </w:r>
                </w:p>
              </w:tc>
            </w:tr>
            <w:tr w:rsidR="00993F9D" w:rsidRPr="00583EE8" w14:paraId="2488F4D7" w14:textId="77777777" w:rsidTr="00642A50">
              <w:trPr>
                <w:trHeight w:val="163"/>
              </w:trPr>
              <w:tc>
                <w:tcPr>
                  <w:tcW w:w="4277" w:type="dxa"/>
                  <w:vAlign w:val="bottom"/>
                </w:tcPr>
                <w:p w14:paraId="0C7B136A" w14:textId="77777777" w:rsidR="00993F9D" w:rsidRPr="00583EE8" w:rsidRDefault="00993F9D" w:rsidP="00993F9D">
                  <w:pPr>
                    <w:rPr>
                      <w:rFonts w:ascii="National 2" w:hAnsi="National 2" w:cs="Calibri"/>
                      <w:sz w:val="18"/>
                      <w:szCs w:val="18"/>
                    </w:rPr>
                  </w:pPr>
                  <w:r w:rsidRPr="00583EE8">
                    <w:rPr>
                      <w:rFonts w:ascii="National 2" w:hAnsi="National 2" w:cs="Calibri"/>
                      <w:sz w:val="18"/>
                      <w:szCs w:val="18"/>
                    </w:rPr>
                    <w:t xml:space="preserve">Meat </w:t>
                  </w:r>
                  <w:r>
                    <w:rPr>
                      <w:rFonts w:ascii="National 2" w:hAnsi="National 2" w:cs="Calibri"/>
                      <w:sz w:val="18"/>
                      <w:szCs w:val="18"/>
                    </w:rPr>
                    <w:t>&amp;</w:t>
                  </w:r>
                  <w:r w:rsidRPr="00583EE8">
                    <w:rPr>
                      <w:rFonts w:ascii="National 2" w:hAnsi="National 2" w:cs="Calibri"/>
                      <w:sz w:val="18"/>
                      <w:szCs w:val="18"/>
                    </w:rPr>
                    <w:t xml:space="preserve"> Meat Product Manufacturing</w:t>
                  </w:r>
                </w:p>
              </w:tc>
              <w:tc>
                <w:tcPr>
                  <w:tcW w:w="992" w:type="dxa"/>
                  <w:vAlign w:val="bottom"/>
                </w:tcPr>
                <w:p w14:paraId="68A49436"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3,300</w:t>
                  </w:r>
                </w:p>
              </w:tc>
              <w:tc>
                <w:tcPr>
                  <w:tcW w:w="826" w:type="dxa"/>
                  <w:shd w:val="clear" w:color="auto" w:fill="auto"/>
                  <w:vAlign w:val="bottom"/>
                </w:tcPr>
                <w:p w14:paraId="0CD6B922"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0.3</w:t>
                  </w:r>
                </w:p>
              </w:tc>
            </w:tr>
            <w:tr w:rsidR="00993F9D" w:rsidRPr="00583EE8" w14:paraId="537CACBD" w14:textId="77777777" w:rsidTr="00642A50">
              <w:trPr>
                <w:trHeight w:val="163"/>
              </w:trPr>
              <w:tc>
                <w:tcPr>
                  <w:tcW w:w="4277" w:type="dxa"/>
                  <w:vAlign w:val="bottom"/>
                </w:tcPr>
                <w:p w14:paraId="3525AB61" w14:textId="77777777" w:rsidR="00993F9D" w:rsidRPr="00583EE8" w:rsidRDefault="00993F9D" w:rsidP="00993F9D">
                  <w:pPr>
                    <w:rPr>
                      <w:rFonts w:ascii="National 2" w:hAnsi="National 2" w:cs="Calibri"/>
                      <w:sz w:val="18"/>
                      <w:szCs w:val="18"/>
                    </w:rPr>
                  </w:pPr>
                  <w:r w:rsidRPr="00583EE8">
                    <w:rPr>
                      <w:rFonts w:ascii="National 2" w:hAnsi="National 2" w:cs="Calibri"/>
                      <w:sz w:val="18"/>
                      <w:szCs w:val="18"/>
                    </w:rPr>
                    <w:t>Printing</w:t>
                  </w:r>
                </w:p>
              </w:tc>
              <w:tc>
                <w:tcPr>
                  <w:tcW w:w="992" w:type="dxa"/>
                  <w:vAlign w:val="bottom"/>
                </w:tcPr>
                <w:p w14:paraId="012C88D3"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3,050</w:t>
                  </w:r>
                </w:p>
              </w:tc>
              <w:tc>
                <w:tcPr>
                  <w:tcW w:w="826" w:type="dxa"/>
                  <w:shd w:val="clear" w:color="auto" w:fill="auto"/>
                  <w:vAlign w:val="bottom"/>
                </w:tcPr>
                <w:p w14:paraId="2489BF4D"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1.5</w:t>
                  </w:r>
                </w:p>
              </w:tc>
            </w:tr>
            <w:tr w:rsidR="00993F9D" w:rsidRPr="00583EE8" w14:paraId="3FAA6C48" w14:textId="77777777" w:rsidTr="00642A50">
              <w:trPr>
                <w:trHeight w:val="163"/>
              </w:trPr>
              <w:tc>
                <w:tcPr>
                  <w:tcW w:w="4277" w:type="dxa"/>
                  <w:vAlign w:val="bottom"/>
                </w:tcPr>
                <w:p w14:paraId="70FBA3BD" w14:textId="77777777" w:rsidR="00993F9D" w:rsidRPr="00583EE8" w:rsidRDefault="00993F9D" w:rsidP="00993F9D">
                  <w:pPr>
                    <w:rPr>
                      <w:rFonts w:ascii="National 2" w:hAnsi="National 2" w:cs="Calibri"/>
                      <w:sz w:val="18"/>
                      <w:szCs w:val="18"/>
                    </w:rPr>
                  </w:pPr>
                  <w:r w:rsidRPr="00583EE8">
                    <w:rPr>
                      <w:rFonts w:ascii="National 2" w:hAnsi="National 2" w:cs="Calibri"/>
                      <w:sz w:val="18"/>
                      <w:szCs w:val="18"/>
                    </w:rPr>
                    <w:t>Other Machinery &amp; Equipment Manufacturing</w:t>
                  </w:r>
                </w:p>
              </w:tc>
              <w:tc>
                <w:tcPr>
                  <w:tcW w:w="992" w:type="dxa"/>
                  <w:vAlign w:val="bottom"/>
                </w:tcPr>
                <w:p w14:paraId="00C5805A"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2,950</w:t>
                  </w:r>
                </w:p>
              </w:tc>
              <w:tc>
                <w:tcPr>
                  <w:tcW w:w="826" w:type="dxa"/>
                  <w:shd w:val="clear" w:color="auto" w:fill="auto"/>
                  <w:vAlign w:val="bottom"/>
                </w:tcPr>
                <w:p w14:paraId="33D9A562"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0.7</w:t>
                  </w:r>
                </w:p>
              </w:tc>
            </w:tr>
          </w:tbl>
          <w:p w14:paraId="090AEB20" w14:textId="77777777" w:rsidR="00993F9D" w:rsidRPr="00E87385" w:rsidRDefault="00993F9D" w:rsidP="00993F9D">
            <w:pPr>
              <w:spacing w:after="120"/>
              <w:rPr>
                <w:rFonts w:ascii="National 2" w:hAnsi="National 2"/>
                <w:b/>
                <w:bCs/>
                <w:color w:val="1B324F"/>
                <w:sz w:val="24"/>
                <w:szCs w:val="24"/>
              </w:rPr>
            </w:pPr>
          </w:p>
        </w:tc>
      </w:tr>
      <w:tr w:rsidR="00993F9D" w:rsidRPr="005F40F2" w14:paraId="01B01769" w14:textId="21AC63F9" w:rsidTr="009B0CEE">
        <w:tc>
          <w:tcPr>
            <w:tcW w:w="8223" w:type="dxa"/>
          </w:tcPr>
          <w:p w14:paraId="21361EC4" w14:textId="77777777" w:rsidR="00C32202" w:rsidRPr="00306DE5" w:rsidRDefault="00993F9D" w:rsidP="00C32202">
            <w:pPr>
              <w:spacing w:before="120" w:after="120"/>
              <w:rPr>
                <w:rFonts w:ascii="National 2" w:hAnsi="National 2"/>
                <w:b/>
                <w:bCs/>
                <w:color w:val="1B384F"/>
                <w:sz w:val="24"/>
                <w:szCs w:val="24"/>
              </w:rPr>
            </w:pPr>
            <w:r w:rsidRPr="00306DE5">
              <w:rPr>
                <w:rFonts w:ascii="National 2" w:hAnsi="National 2"/>
                <w:b/>
                <w:bCs/>
                <w:color w:val="1B384F"/>
                <w:sz w:val="24"/>
                <w:szCs w:val="24"/>
              </w:rPr>
              <w:t>Sectors</w:t>
            </w:r>
          </w:p>
          <w:p w14:paraId="6BA03CB0" w14:textId="704AAD81" w:rsidR="00C32202" w:rsidRDefault="00C32202" w:rsidP="00C32202">
            <w:pPr>
              <w:spacing w:before="120" w:after="120"/>
              <w:rPr>
                <w:rFonts w:ascii="National 2" w:hAnsi="National 2"/>
                <w:sz w:val="18"/>
                <w:szCs w:val="18"/>
              </w:rPr>
            </w:pPr>
            <w:r w:rsidRPr="00B95783">
              <w:rPr>
                <w:rFonts w:ascii="National 2" w:hAnsi="National 2"/>
                <w:sz w:val="18"/>
                <w:szCs w:val="18"/>
              </w:rPr>
              <w:t>Almost all sectors have grown in Auckland</w:t>
            </w:r>
            <w:r>
              <w:rPr>
                <w:rFonts w:ascii="National 2" w:hAnsi="National 2"/>
                <w:sz w:val="18"/>
                <w:szCs w:val="18"/>
              </w:rPr>
              <w:t xml:space="preserve"> over the last decade.  Seventy percent of growth is attributed to six sectors with construction being by far the biggest growth sector. Construction services and building construction have driven this growth with residential building construction and building installation services (plumbing and electrical) showing most growth. Construction can be a cyclical industry</w:t>
            </w:r>
            <w:r w:rsidR="00251CBB">
              <w:rPr>
                <w:rFonts w:ascii="National 2" w:hAnsi="National 2"/>
                <w:sz w:val="18"/>
                <w:szCs w:val="18"/>
              </w:rPr>
              <w:t xml:space="preserve"> with </w:t>
            </w:r>
            <w:r w:rsidR="00C36534">
              <w:rPr>
                <w:rFonts w:ascii="National 2" w:hAnsi="National 2"/>
                <w:sz w:val="18"/>
                <w:szCs w:val="18"/>
              </w:rPr>
              <w:t>periods of growth followed by periods of decline reflecting</w:t>
            </w:r>
            <w:r w:rsidR="004D16A2">
              <w:rPr>
                <w:rFonts w:ascii="National 2" w:hAnsi="National 2"/>
                <w:sz w:val="18"/>
                <w:szCs w:val="18"/>
              </w:rPr>
              <w:t xml:space="preserve"> levels of activity </w:t>
            </w:r>
            <w:r w:rsidR="00926861">
              <w:rPr>
                <w:rFonts w:ascii="National 2" w:hAnsi="National 2"/>
                <w:sz w:val="18"/>
                <w:szCs w:val="18"/>
              </w:rPr>
              <w:t xml:space="preserve">and the economic climate </w:t>
            </w:r>
            <w:r w:rsidR="004D16A2">
              <w:rPr>
                <w:rFonts w:ascii="National 2" w:hAnsi="National 2"/>
                <w:sz w:val="18"/>
                <w:szCs w:val="18"/>
              </w:rPr>
              <w:t>across the wider economy</w:t>
            </w:r>
            <w:r>
              <w:rPr>
                <w:rFonts w:ascii="National 2" w:hAnsi="National 2"/>
                <w:sz w:val="18"/>
                <w:szCs w:val="18"/>
              </w:rPr>
              <w:t xml:space="preserve">. </w:t>
            </w:r>
          </w:p>
          <w:p w14:paraId="71A5B79D" w14:textId="7D451E59" w:rsidR="00993F9D" w:rsidRPr="00E87385" w:rsidRDefault="00C32202" w:rsidP="00C32202">
            <w:pPr>
              <w:spacing w:after="120"/>
              <w:rPr>
                <w:rFonts w:ascii="National 2" w:hAnsi="National 2"/>
                <w:b/>
                <w:bCs/>
                <w:color w:val="1B324F"/>
                <w:sz w:val="24"/>
                <w:szCs w:val="24"/>
              </w:rPr>
            </w:pPr>
            <w:r>
              <w:rPr>
                <w:rFonts w:ascii="National 2" w:hAnsi="National 2"/>
                <w:sz w:val="18"/>
                <w:szCs w:val="18"/>
              </w:rPr>
              <w:t>Within professional services, architecture &amp; engineering and computer systems design have driven most employment growth along with management consulting and legal &amp; accounting services.</w:t>
            </w:r>
          </w:p>
          <w:p w14:paraId="1E7FB9B0" w14:textId="77777777" w:rsidR="00993F9D" w:rsidRDefault="00993F9D" w:rsidP="00C32202">
            <w:pPr>
              <w:spacing w:after="120"/>
              <w:rPr>
                <w:rFonts w:ascii="National 2" w:hAnsi="National 2"/>
                <w:sz w:val="18"/>
                <w:szCs w:val="18"/>
              </w:rPr>
            </w:pPr>
            <w:r w:rsidRPr="00200AE5">
              <w:rPr>
                <w:rFonts w:ascii="National 2" w:hAnsi="National 2"/>
                <w:sz w:val="18"/>
                <w:szCs w:val="18"/>
              </w:rPr>
              <w:t xml:space="preserve">Professional, scientific &amp; technical services, healthcare, manufacturing and retail are the main employing sectors in the Auckland region.  </w:t>
            </w:r>
            <w:r w:rsidR="00DC7CAB">
              <w:rPr>
                <w:rFonts w:ascii="National 2" w:hAnsi="National 2"/>
                <w:sz w:val="18"/>
                <w:szCs w:val="18"/>
              </w:rPr>
              <w:t>The p</w:t>
            </w:r>
            <w:r w:rsidRPr="00200AE5">
              <w:rPr>
                <w:rFonts w:ascii="National 2" w:hAnsi="National 2"/>
                <w:sz w:val="18"/>
                <w:szCs w:val="18"/>
              </w:rPr>
              <w:t xml:space="preserve">rofessional, scientific &amp; technical services </w:t>
            </w:r>
            <w:r w:rsidR="00DC7CAB">
              <w:rPr>
                <w:rFonts w:ascii="National 2" w:hAnsi="National 2"/>
                <w:sz w:val="18"/>
                <w:szCs w:val="18"/>
              </w:rPr>
              <w:t xml:space="preserve">sector </w:t>
            </w:r>
            <w:r w:rsidRPr="00200AE5">
              <w:rPr>
                <w:rFonts w:ascii="National 2" w:hAnsi="National 2"/>
                <w:sz w:val="18"/>
                <w:szCs w:val="18"/>
              </w:rPr>
              <w:t>has a location quotient of 1.</w:t>
            </w:r>
            <w:r>
              <w:rPr>
                <w:rFonts w:ascii="National 2" w:hAnsi="National 2"/>
                <w:sz w:val="18"/>
                <w:szCs w:val="18"/>
              </w:rPr>
              <w:t>3</w:t>
            </w:r>
            <w:r w:rsidRPr="00200AE5">
              <w:rPr>
                <w:rFonts w:ascii="National 2" w:hAnsi="National 2"/>
                <w:sz w:val="18"/>
                <w:szCs w:val="18"/>
              </w:rPr>
              <w:t xml:space="preserve"> meaning it is more concentrated in the area than it is nationally.  There is also a slight concentration of construction and wholesale trade employment</w:t>
            </w:r>
            <w:r>
              <w:rPr>
                <w:rFonts w:ascii="National 2" w:hAnsi="National 2"/>
                <w:sz w:val="18"/>
                <w:szCs w:val="18"/>
              </w:rPr>
              <w:t xml:space="preserve"> in the region relative to the country as a whole.</w:t>
            </w:r>
          </w:p>
          <w:p w14:paraId="386235EF" w14:textId="45DC5787" w:rsidR="00926861" w:rsidRPr="006F7FB0" w:rsidRDefault="00926861" w:rsidP="00C32202">
            <w:pPr>
              <w:spacing w:after="120"/>
              <w:rPr>
                <w:rFonts w:ascii="National 2" w:hAnsi="National 2"/>
                <w:sz w:val="18"/>
                <w:szCs w:val="18"/>
              </w:rPr>
            </w:pPr>
            <w:r>
              <w:rPr>
                <w:rFonts w:ascii="National 2" w:hAnsi="National 2"/>
                <w:sz w:val="18"/>
                <w:szCs w:val="18"/>
              </w:rPr>
              <w:t xml:space="preserve">Accommodation &amp; food services </w:t>
            </w:r>
            <w:r w:rsidR="00E4694C">
              <w:rPr>
                <w:rFonts w:ascii="National 2" w:hAnsi="National 2"/>
                <w:sz w:val="18"/>
                <w:szCs w:val="18"/>
              </w:rPr>
              <w:t xml:space="preserve">saw sustained employment growth </w:t>
            </w:r>
            <w:r w:rsidR="00F26008">
              <w:rPr>
                <w:rFonts w:ascii="National 2" w:hAnsi="National 2"/>
                <w:sz w:val="18"/>
                <w:szCs w:val="18"/>
              </w:rPr>
              <w:t>through to 2020 before the sector was impacted by the COVID-19 pandemic.</w:t>
            </w:r>
            <w:r w:rsidR="004B75F3">
              <w:rPr>
                <w:rFonts w:ascii="National 2" w:hAnsi="National 2"/>
                <w:sz w:val="18"/>
                <w:szCs w:val="18"/>
              </w:rPr>
              <w:t xml:space="preserve">  Latest business demography data not shown on this chart</w:t>
            </w:r>
            <w:r w:rsidR="000417CA">
              <w:rPr>
                <w:rFonts w:ascii="National 2" w:hAnsi="National 2"/>
                <w:sz w:val="18"/>
                <w:szCs w:val="18"/>
              </w:rPr>
              <w:t xml:space="preserve"> indicates a return to growth in that sector.</w:t>
            </w:r>
          </w:p>
        </w:tc>
        <w:tc>
          <w:tcPr>
            <w:tcW w:w="8646" w:type="dxa"/>
          </w:tcPr>
          <w:p w14:paraId="7717106B" w14:textId="77777777" w:rsidR="00162D52" w:rsidRPr="00306DE5" w:rsidRDefault="00162D52" w:rsidP="00162D52">
            <w:pPr>
              <w:spacing w:after="120"/>
              <w:rPr>
                <w:rFonts w:ascii="National 2" w:hAnsi="National 2"/>
                <w:b/>
                <w:bCs/>
                <w:color w:val="1B384F"/>
                <w:sz w:val="24"/>
                <w:szCs w:val="24"/>
              </w:rPr>
            </w:pPr>
            <w:r w:rsidRPr="00306DE5">
              <w:rPr>
                <w:rFonts w:ascii="National 2" w:hAnsi="National 2"/>
                <w:b/>
                <w:bCs/>
                <w:color w:val="1B384F"/>
                <w:sz w:val="24"/>
                <w:szCs w:val="24"/>
              </w:rPr>
              <w:t xml:space="preserve">Sectoral Change </w:t>
            </w:r>
          </w:p>
          <w:p w14:paraId="641E9C3E" w14:textId="3BB178BD" w:rsidR="003E5723" w:rsidRDefault="00162D52" w:rsidP="003E5723">
            <w:pPr>
              <w:spacing w:before="120" w:after="120"/>
              <w:rPr>
                <w:rFonts w:ascii="National 2" w:hAnsi="National 2"/>
                <w:sz w:val="18"/>
                <w:szCs w:val="18"/>
              </w:rPr>
            </w:pPr>
            <w:r w:rsidRPr="006573C7">
              <w:rPr>
                <w:rFonts w:ascii="National 2" w:hAnsi="National 2"/>
                <w:sz w:val="18"/>
                <w:szCs w:val="18"/>
              </w:rPr>
              <w:t>While manufacturing had long been the</w:t>
            </w:r>
            <w:r>
              <w:rPr>
                <w:rFonts w:ascii="National 2" w:hAnsi="National 2"/>
                <w:sz w:val="18"/>
                <w:szCs w:val="18"/>
              </w:rPr>
              <w:t xml:space="preserve"> region’s</w:t>
            </w:r>
            <w:r w:rsidRPr="006573C7">
              <w:rPr>
                <w:rFonts w:ascii="National 2" w:hAnsi="National 2"/>
                <w:sz w:val="18"/>
                <w:szCs w:val="18"/>
              </w:rPr>
              <w:t xml:space="preserve"> biggest employment sector, its importance has declined as a result of the growth </w:t>
            </w:r>
            <w:r w:rsidR="003E5723">
              <w:rPr>
                <w:rFonts w:ascii="National 2" w:hAnsi="National 2"/>
                <w:sz w:val="18"/>
                <w:szCs w:val="18"/>
              </w:rPr>
              <w:t>in other sectors</w:t>
            </w:r>
            <w:r w:rsidRPr="006573C7">
              <w:rPr>
                <w:rFonts w:ascii="National 2" w:hAnsi="National 2"/>
                <w:sz w:val="18"/>
                <w:szCs w:val="18"/>
              </w:rPr>
              <w:t xml:space="preserve">.  While the manufacturing sector provided 15 per cent of Auckland jobs in 2002, this was 10 per cent by 2022. </w:t>
            </w:r>
            <w:r w:rsidR="003E5723">
              <w:rPr>
                <w:rFonts w:ascii="National 2" w:hAnsi="National 2"/>
                <w:sz w:val="18"/>
                <w:szCs w:val="18"/>
              </w:rPr>
              <w:t>Some manufacturing sectors like p</w:t>
            </w:r>
            <w:r w:rsidR="003E5723" w:rsidRPr="007C73AC">
              <w:rPr>
                <w:rFonts w:ascii="National 2" w:hAnsi="National 2"/>
                <w:sz w:val="18"/>
                <w:szCs w:val="18"/>
              </w:rPr>
              <w:t xml:space="preserve">rofessional </w:t>
            </w:r>
            <w:r w:rsidR="003E5723">
              <w:rPr>
                <w:rFonts w:ascii="National 2" w:hAnsi="National 2"/>
                <w:sz w:val="18"/>
                <w:szCs w:val="18"/>
              </w:rPr>
              <w:t>&amp;</w:t>
            </w:r>
            <w:r w:rsidR="003E5723" w:rsidRPr="007C73AC">
              <w:rPr>
                <w:rFonts w:ascii="National 2" w:hAnsi="National 2"/>
                <w:sz w:val="18"/>
                <w:szCs w:val="18"/>
              </w:rPr>
              <w:t xml:space="preserve"> </w:t>
            </w:r>
            <w:r w:rsidR="003E5723">
              <w:rPr>
                <w:rFonts w:ascii="National 2" w:hAnsi="National 2"/>
                <w:sz w:val="18"/>
                <w:szCs w:val="18"/>
              </w:rPr>
              <w:t>s</w:t>
            </w:r>
            <w:r w:rsidR="003E5723" w:rsidRPr="007C73AC">
              <w:rPr>
                <w:rFonts w:ascii="National 2" w:hAnsi="National 2"/>
                <w:sz w:val="18"/>
                <w:szCs w:val="18"/>
              </w:rPr>
              <w:t xml:space="preserve">cientific </w:t>
            </w:r>
            <w:r w:rsidR="003E5723">
              <w:rPr>
                <w:rFonts w:ascii="National 2" w:hAnsi="National 2"/>
                <w:sz w:val="18"/>
                <w:szCs w:val="18"/>
              </w:rPr>
              <w:t>e</w:t>
            </w:r>
            <w:r w:rsidR="003E5723" w:rsidRPr="007C73AC">
              <w:rPr>
                <w:rFonts w:ascii="National 2" w:hAnsi="National 2"/>
                <w:sz w:val="18"/>
                <w:szCs w:val="18"/>
              </w:rPr>
              <w:t>quipment</w:t>
            </w:r>
            <w:r w:rsidR="003E5723">
              <w:rPr>
                <w:rFonts w:ascii="National 2" w:hAnsi="National 2"/>
                <w:sz w:val="18"/>
                <w:szCs w:val="18"/>
              </w:rPr>
              <w:t>, s</w:t>
            </w:r>
            <w:r w:rsidR="003E5723" w:rsidRPr="005F586C">
              <w:rPr>
                <w:rFonts w:ascii="National 2" w:hAnsi="National 2"/>
                <w:sz w:val="18"/>
                <w:szCs w:val="18"/>
              </w:rPr>
              <w:t xml:space="preserve">tructural </w:t>
            </w:r>
            <w:r w:rsidR="003E5723">
              <w:rPr>
                <w:rFonts w:ascii="National 2" w:hAnsi="National 2"/>
                <w:sz w:val="18"/>
                <w:szCs w:val="18"/>
              </w:rPr>
              <w:t>m</w:t>
            </w:r>
            <w:r w:rsidR="003E5723" w:rsidRPr="005F586C">
              <w:rPr>
                <w:rFonts w:ascii="National 2" w:hAnsi="National 2"/>
                <w:sz w:val="18"/>
                <w:szCs w:val="18"/>
              </w:rPr>
              <w:t xml:space="preserve">etal </w:t>
            </w:r>
            <w:r w:rsidR="003E5723">
              <w:rPr>
                <w:rFonts w:ascii="National 2" w:hAnsi="National 2"/>
                <w:sz w:val="18"/>
                <w:szCs w:val="18"/>
              </w:rPr>
              <w:t>p</w:t>
            </w:r>
            <w:r w:rsidR="003E5723" w:rsidRPr="005F586C">
              <w:rPr>
                <w:rFonts w:ascii="National 2" w:hAnsi="National 2"/>
                <w:sz w:val="18"/>
                <w:szCs w:val="18"/>
              </w:rPr>
              <w:t xml:space="preserve">roduct </w:t>
            </w:r>
            <w:r w:rsidR="003E5723">
              <w:rPr>
                <w:rFonts w:ascii="National 2" w:hAnsi="National 2"/>
                <w:sz w:val="18"/>
                <w:szCs w:val="18"/>
              </w:rPr>
              <w:t xml:space="preserve">and meat and other food product manufacturing seeing strong growth. </w:t>
            </w:r>
            <w:r w:rsidR="003E5723" w:rsidRPr="00E42585">
              <w:rPr>
                <w:rFonts w:ascii="National 2" w:hAnsi="National 2"/>
                <w:sz w:val="18"/>
                <w:szCs w:val="18"/>
              </w:rPr>
              <w:t>Printing</w:t>
            </w:r>
            <w:r w:rsidR="003E5723">
              <w:rPr>
                <w:rFonts w:ascii="National 2" w:hAnsi="National 2"/>
                <w:sz w:val="18"/>
                <w:szCs w:val="18"/>
              </w:rPr>
              <w:t>, o</w:t>
            </w:r>
            <w:r w:rsidR="003E5723" w:rsidRPr="00D92F39">
              <w:rPr>
                <w:rFonts w:ascii="National 2" w:hAnsi="National 2"/>
                <w:sz w:val="18"/>
                <w:szCs w:val="18"/>
              </w:rPr>
              <w:t xml:space="preserve">ther </w:t>
            </w:r>
            <w:r w:rsidR="003E5723">
              <w:rPr>
                <w:rFonts w:ascii="National 2" w:hAnsi="National 2"/>
                <w:sz w:val="18"/>
                <w:szCs w:val="18"/>
              </w:rPr>
              <w:t>t</w:t>
            </w:r>
            <w:r w:rsidR="003E5723" w:rsidRPr="00D92F39">
              <w:rPr>
                <w:rFonts w:ascii="National 2" w:hAnsi="National 2"/>
                <w:sz w:val="18"/>
                <w:szCs w:val="18"/>
              </w:rPr>
              <w:t xml:space="preserve">ransport </w:t>
            </w:r>
            <w:r w:rsidR="003E5723">
              <w:rPr>
                <w:rFonts w:ascii="National 2" w:hAnsi="National 2"/>
                <w:sz w:val="18"/>
                <w:szCs w:val="18"/>
              </w:rPr>
              <w:t>e</w:t>
            </w:r>
            <w:r w:rsidR="003E5723" w:rsidRPr="00D92F39">
              <w:rPr>
                <w:rFonts w:ascii="National 2" w:hAnsi="National 2"/>
                <w:sz w:val="18"/>
                <w:szCs w:val="18"/>
              </w:rPr>
              <w:t>quipment</w:t>
            </w:r>
            <w:r w:rsidR="003E5723">
              <w:rPr>
                <w:rFonts w:ascii="National 2" w:hAnsi="National 2"/>
                <w:sz w:val="18"/>
                <w:szCs w:val="18"/>
              </w:rPr>
              <w:t>, clothing &amp; footwear and basic ferrous metal manufacturing saw notable decline.</w:t>
            </w:r>
          </w:p>
          <w:p w14:paraId="4ADDDB9F" w14:textId="055CEA97" w:rsidR="00162D52" w:rsidRPr="006573C7" w:rsidRDefault="003E5723" w:rsidP="003E5723">
            <w:pPr>
              <w:spacing w:after="120"/>
              <w:rPr>
                <w:rFonts w:ascii="National 2" w:hAnsi="National 2"/>
                <w:sz w:val="18"/>
                <w:szCs w:val="18"/>
              </w:rPr>
            </w:pPr>
            <w:r>
              <w:rPr>
                <w:rFonts w:ascii="National 2" w:hAnsi="National 2"/>
                <w:sz w:val="18"/>
                <w:szCs w:val="18"/>
              </w:rPr>
              <w:t xml:space="preserve">Print media publishing provides much of the reduction in employment in the </w:t>
            </w:r>
            <w:r>
              <w:rPr>
                <w:rFonts w:ascii="National 2" w:hAnsi="National 2" w:cs="Calibri"/>
                <w:color w:val="000000"/>
                <w:sz w:val="18"/>
                <w:szCs w:val="18"/>
              </w:rPr>
              <w:t>in</w:t>
            </w:r>
            <w:r w:rsidRPr="0067445C">
              <w:rPr>
                <w:rFonts w:ascii="National 2" w:hAnsi="National 2" w:cs="Calibri"/>
                <w:color w:val="000000"/>
                <w:sz w:val="18"/>
                <w:szCs w:val="18"/>
              </w:rPr>
              <w:t xml:space="preserve">formation </w:t>
            </w:r>
            <w:r>
              <w:rPr>
                <w:rFonts w:ascii="National 2" w:hAnsi="National 2" w:cs="Calibri"/>
                <w:color w:val="000000"/>
                <w:sz w:val="18"/>
                <w:szCs w:val="18"/>
              </w:rPr>
              <w:t>m</w:t>
            </w:r>
            <w:r w:rsidRPr="0067445C">
              <w:rPr>
                <w:rFonts w:ascii="National 2" w:hAnsi="National 2" w:cs="Calibri"/>
                <w:color w:val="000000"/>
                <w:sz w:val="18"/>
                <w:szCs w:val="18"/>
              </w:rPr>
              <w:t xml:space="preserve">edia &amp; </w:t>
            </w:r>
            <w:r>
              <w:rPr>
                <w:rFonts w:ascii="National 2" w:hAnsi="National 2" w:cs="Calibri"/>
                <w:color w:val="000000"/>
                <w:sz w:val="18"/>
                <w:szCs w:val="18"/>
              </w:rPr>
              <w:t>t</w:t>
            </w:r>
            <w:r w:rsidRPr="0067445C">
              <w:rPr>
                <w:rFonts w:ascii="National 2" w:hAnsi="National 2" w:cs="Calibri"/>
                <w:color w:val="000000"/>
                <w:sz w:val="18"/>
                <w:szCs w:val="18"/>
              </w:rPr>
              <w:t>elecom</w:t>
            </w:r>
            <w:r>
              <w:rPr>
                <w:rFonts w:ascii="National 2" w:hAnsi="National 2" w:cs="Calibri"/>
                <w:color w:val="000000"/>
                <w:sz w:val="18"/>
                <w:szCs w:val="18"/>
              </w:rPr>
              <w:t>munications sector.</w:t>
            </w:r>
          </w:p>
          <w:p w14:paraId="3C3F3B41" w14:textId="77777777" w:rsidR="00162D52" w:rsidRPr="008D4E8B" w:rsidRDefault="00162D52" w:rsidP="00162D52">
            <w:pPr>
              <w:spacing w:after="120"/>
              <w:rPr>
                <w:rFonts w:ascii="National 2" w:hAnsi="National 2"/>
                <w:sz w:val="18"/>
                <w:szCs w:val="18"/>
              </w:rPr>
            </w:pPr>
            <w:r w:rsidRPr="008D4E8B">
              <w:rPr>
                <w:rFonts w:ascii="National 2" w:hAnsi="National 2"/>
                <w:sz w:val="18"/>
                <w:szCs w:val="18"/>
              </w:rPr>
              <w:t xml:space="preserve">Professional services increased its share of employment from 9 per cent to 11 per cent over the same period.  Healthcare and construction were the only major sectors in the region to have grown over the COVID-19 period, although 2022 has seen a return to growth in all </w:t>
            </w:r>
            <w:r>
              <w:rPr>
                <w:rFonts w:ascii="National 2" w:hAnsi="National 2"/>
                <w:sz w:val="18"/>
                <w:szCs w:val="18"/>
              </w:rPr>
              <w:t xml:space="preserve">of the largest sectors </w:t>
            </w:r>
            <w:r w:rsidRPr="008D4E8B">
              <w:rPr>
                <w:rFonts w:ascii="National 2" w:hAnsi="National 2"/>
                <w:sz w:val="18"/>
                <w:szCs w:val="18"/>
              </w:rPr>
              <w:t>other than education &amp; training.</w:t>
            </w:r>
          </w:p>
          <w:p w14:paraId="4B5A73C2" w14:textId="698F4AB2" w:rsidR="00993F9D" w:rsidRDefault="00993F9D" w:rsidP="00993F9D">
            <w:pPr>
              <w:spacing w:before="120" w:after="120"/>
              <w:rPr>
                <w:rFonts w:ascii="National 2" w:hAnsi="National 2"/>
                <w:sz w:val="18"/>
                <w:szCs w:val="18"/>
              </w:rPr>
            </w:pPr>
            <w:r>
              <w:rPr>
                <w:rFonts w:ascii="National 2" w:hAnsi="National 2"/>
                <w:sz w:val="18"/>
                <w:szCs w:val="18"/>
              </w:rPr>
              <w:t>Hospital and allied health services (dentists, opticians and physiotherapists) have provided most employment growth in the healthcare sector. Residential care services employment has also grown.</w:t>
            </w:r>
          </w:p>
          <w:p w14:paraId="03D446E3" w14:textId="0EC29C63" w:rsidR="00993F9D" w:rsidRPr="003E5723" w:rsidRDefault="00993F9D" w:rsidP="003E5723">
            <w:pPr>
              <w:spacing w:before="120" w:after="120"/>
              <w:rPr>
                <w:rFonts w:ascii="National 2" w:hAnsi="National 2"/>
                <w:sz w:val="18"/>
                <w:szCs w:val="18"/>
              </w:rPr>
            </w:pPr>
            <w:r>
              <w:rPr>
                <w:rFonts w:ascii="National 2" w:hAnsi="National 2"/>
                <w:sz w:val="18"/>
                <w:szCs w:val="18"/>
              </w:rPr>
              <w:t xml:space="preserve">Supermarkets, hardware, pharmaceuticals and department stores have driven most retail job growth. </w:t>
            </w:r>
            <w:r w:rsidRPr="00C72791">
              <w:rPr>
                <w:rFonts w:ascii="National 2" w:hAnsi="National 2"/>
                <w:sz w:val="18"/>
                <w:szCs w:val="18"/>
              </w:rPr>
              <w:t xml:space="preserve">Cafes, </w:t>
            </w:r>
            <w:r>
              <w:rPr>
                <w:rFonts w:ascii="National 2" w:hAnsi="National 2"/>
                <w:sz w:val="18"/>
                <w:szCs w:val="18"/>
              </w:rPr>
              <w:t>r</w:t>
            </w:r>
            <w:r w:rsidRPr="00C72791">
              <w:rPr>
                <w:rFonts w:ascii="National 2" w:hAnsi="National 2"/>
                <w:sz w:val="18"/>
                <w:szCs w:val="18"/>
              </w:rPr>
              <w:t xml:space="preserve">estaurants and </w:t>
            </w:r>
            <w:r>
              <w:rPr>
                <w:rFonts w:ascii="National 2" w:hAnsi="National 2"/>
                <w:sz w:val="18"/>
                <w:szCs w:val="18"/>
              </w:rPr>
              <w:t>t</w:t>
            </w:r>
            <w:r w:rsidRPr="00C72791">
              <w:rPr>
                <w:rFonts w:ascii="National 2" w:hAnsi="National 2"/>
                <w:sz w:val="18"/>
                <w:szCs w:val="18"/>
              </w:rPr>
              <w:t>akeaway</w:t>
            </w:r>
            <w:r>
              <w:rPr>
                <w:rFonts w:ascii="National 2" w:hAnsi="National 2"/>
                <w:sz w:val="18"/>
                <w:szCs w:val="18"/>
              </w:rPr>
              <w:t>s are responsible for almost all accommodation &amp; food job growth. Administrative &amp; support services employment growth is mostly in employment services (recruitment and labour hire).</w:t>
            </w:r>
          </w:p>
        </w:tc>
        <w:tc>
          <w:tcPr>
            <w:tcW w:w="6237" w:type="dxa"/>
          </w:tcPr>
          <w:p w14:paraId="4EC2A991" w14:textId="77777777" w:rsidR="00993F9D" w:rsidRPr="00306DE5" w:rsidRDefault="00993F9D" w:rsidP="00993F9D">
            <w:pPr>
              <w:rPr>
                <w:rFonts w:ascii="National 2" w:hAnsi="National 2"/>
                <w:color w:val="1B384F"/>
                <w:sz w:val="10"/>
                <w:szCs w:val="10"/>
              </w:rPr>
            </w:pPr>
          </w:p>
          <w:tbl>
            <w:tblPr>
              <w:tblStyle w:val="TableGrid"/>
              <w:tblW w:w="6095" w:type="dxa"/>
              <w:tblLayout w:type="fixed"/>
              <w:tblLook w:val="04A0" w:firstRow="1" w:lastRow="0" w:firstColumn="1" w:lastColumn="0" w:noHBand="0" w:noVBand="1"/>
            </w:tblPr>
            <w:tblGrid>
              <w:gridCol w:w="4277"/>
              <w:gridCol w:w="992"/>
              <w:gridCol w:w="826"/>
            </w:tblGrid>
            <w:tr w:rsidR="00306DE5" w:rsidRPr="00306DE5" w14:paraId="4C46FAEF" w14:textId="77777777" w:rsidTr="00642A50">
              <w:tc>
                <w:tcPr>
                  <w:tcW w:w="4277" w:type="dxa"/>
                  <w:vAlign w:val="bottom"/>
                </w:tcPr>
                <w:p w14:paraId="328F7D63" w14:textId="77777777" w:rsidR="005820FD" w:rsidRPr="00306DE5" w:rsidRDefault="005820FD" w:rsidP="005820FD">
                  <w:pPr>
                    <w:rPr>
                      <w:rFonts w:ascii="National 2" w:hAnsi="National 2"/>
                      <w:b/>
                      <w:bCs/>
                      <w:color w:val="1B384F"/>
                      <w:sz w:val="18"/>
                      <w:szCs w:val="18"/>
                    </w:rPr>
                  </w:pPr>
                  <w:r w:rsidRPr="00306DE5">
                    <w:rPr>
                      <w:rFonts w:ascii="National 2" w:hAnsi="National 2" w:cs="Calibri"/>
                      <w:b/>
                      <w:bCs/>
                      <w:color w:val="1B384F"/>
                      <w:sz w:val="18"/>
                      <w:szCs w:val="18"/>
                    </w:rPr>
                    <w:t>Construction</w:t>
                  </w:r>
                </w:p>
              </w:tc>
              <w:tc>
                <w:tcPr>
                  <w:tcW w:w="992" w:type="dxa"/>
                  <w:vAlign w:val="bottom"/>
                </w:tcPr>
                <w:p w14:paraId="45CA0566" w14:textId="77777777" w:rsidR="005820FD" w:rsidRPr="00306DE5" w:rsidRDefault="005820FD" w:rsidP="005820FD">
                  <w:pPr>
                    <w:jc w:val="center"/>
                    <w:rPr>
                      <w:rFonts w:ascii="National 2" w:hAnsi="National 2"/>
                      <w:b/>
                      <w:bCs/>
                      <w:color w:val="1B384F"/>
                      <w:sz w:val="18"/>
                      <w:szCs w:val="18"/>
                    </w:rPr>
                  </w:pPr>
                  <w:r w:rsidRPr="00306DE5">
                    <w:rPr>
                      <w:rFonts w:ascii="National 2" w:hAnsi="National 2" w:cs="Calibri"/>
                      <w:b/>
                      <w:bCs/>
                      <w:color w:val="1B384F"/>
                      <w:sz w:val="18"/>
                      <w:szCs w:val="18"/>
                    </w:rPr>
                    <w:t>Jobs</w:t>
                  </w:r>
                </w:p>
              </w:tc>
              <w:tc>
                <w:tcPr>
                  <w:tcW w:w="826" w:type="dxa"/>
                  <w:vAlign w:val="bottom"/>
                </w:tcPr>
                <w:p w14:paraId="723DEA00" w14:textId="77777777" w:rsidR="005820FD" w:rsidRPr="00306DE5" w:rsidRDefault="005820FD" w:rsidP="005820FD">
                  <w:pPr>
                    <w:jc w:val="center"/>
                    <w:rPr>
                      <w:rFonts w:ascii="National 2" w:hAnsi="National 2"/>
                      <w:b/>
                      <w:bCs/>
                      <w:color w:val="1B384F"/>
                      <w:sz w:val="18"/>
                      <w:szCs w:val="18"/>
                    </w:rPr>
                  </w:pPr>
                  <w:r w:rsidRPr="00306DE5">
                    <w:rPr>
                      <w:rFonts w:ascii="National 2" w:hAnsi="National 2" w:cs="Calibri"/>
                      <w:b/>
                      <w:bCs/>
                      <w:color w:val="1B384F"/>
                      <w:sz w:val="18"/>
                      <w:szCs w:val="18"/>
                    </w:rPr>
                    <w:t>LQ</w:t>
                  </w:r>
                </w:p>
              </w:tc>
            </w:tr>
            <w:tr w:rsidR="005820FD" w:rsidRPr="00583EE8" w14:paraId="3C570CC4" w14:textId="77777777" w:rsidTr="00642A50">
              <w:tc>
                <w:tcPr>
                  <w:tcW w:w="4277" w:type="dxa"/>
                  <w:vAlign w:val="bottom"/>
                </w:tcPr>
                <w:p w14:paraId="5A158341" w14:textId="77777777" w:rsidR="005820FD" w:rsidRPr="00583EE8" w:rsidRDefault="005820FD" w:rsidP="005820FD">
                  <w:pPr>
                    <w:rPr>
                      <w:rFonts w:ascii="National 2" w:hAnsi="National 2" w:cs="Calibri"/>
                      <w:sz w:val="18"/>
                      <w:szCs w:val="18"/>
                    </w:rPr>
                  </w:pPr>
                  <w:r w:rsidRPr="00583EE8">
                    <w:rPr>
                      <w:rFonts w:ascii="National 2" w:hAnsi="National 2" w:cs="Calibri"/>
                      <w:sz w:val="18"/>
                      <w:szCs w:val="18"/>
                    </w:rPr>
                    <w:t>Building Installation Services</w:t>
                  </w:r>
                </w:p>
              </w:tc>
              <w:tc>
                <w:tcPr>
                  <w:tcW w:w="992" w:type="dxa"/>
                  <w:vAlign w:val="bottom"/>
                </w:tcPr>
                <w:p w14:paraId="06594C0E" w14:textId="77777777" w:rsidR="005820FD" w:rsidRPr="00583EE8" w:rsidRDefault="005820FD" w:rsidP="005820FD">
                  <w:pPr>
                    <w:jc w:val="center"/>
                    <w:rPr>
                      <w:rFonts w:ascii="National 2" w:hAnsi="National 2" w:cs="Calibri"/>
                      <w:sz w:val="18"/>
                      <w:szCs w:val="18"/>
                    </w:rPr>
                  </w:pPr>
                  <w:r w:rsidRPr="00583EE8">
                    <w:rPr>
                      <w:rFonts w:ascii="National 2" w:hAnsi="National 2" w:cs="Calibri"/>
                      <w:sz w:val="18"/>
                      <w:szCs w:val="18"/>
                    </w:rPr>
                    <w:t>16,600</w:t>
                  </w:r>
                </w:p>
              </w:tc>
              <w:tc>
                <w:tcPr>
                  <w:tcW w:w="826" w:type="dxa"/>
                  <w:shd w:val="clear" w:color="auto" w:fill="auto"/>
                  <w:vAlign w:val="bottom"/>
                </w:tcPr>
                <w:p w14:paraId="2AC756BB" w14:textId="77777777" w:rsidR="005820FD" w:rsidRPr="00583EE8" w:rsidRDefault="005820FD" w:rsidP="005820FD">
                  <w:pPr>
                    <w:jc w:val="center"/>
                    <w:rPr>
                      <w:rFonts w:ascii="National 2" w:hAnsi="National 2" w:cs="Calibri"/>
                      <w:sz w:val="18"/>
                      <w:szCs w:val="18"/>
                    </w:rPr>
                  </w:pPr>
                  <w:r w:rsidRPr="00583EE8">
                    <w:rPr>
                      <w:rFonts w:ascii="National 2" w:hAnsi="National 2" w:cs="Calibri"/>
                      <w:sz w:val="18"/>
                      <w:szCs w:val="18"/>
                    </w:rPr>
                    <w:t>1.0</w:t>
                  </w:r>
                </w:p>
              </w:tc>
            </w:tr>
            <w:tr w:rsidR="005820FD" w:rsidRPr="00583EE8" w14:paraId="3B950E54" w14:textId="77777777" w:rsidTr="00642A50">
              <w:tc>
                <w:tcPr>
                  <w:tcW w:w="4277" w:type="dxa"/>
                  <w:vAlign w:val="bottom"/>
                </w:tcPr>
                <w:p w14:paraId="729183F5" w14:textId="77777777" w:rsidR="005820FD" w:rsidRPr="00583EE8" w:rsidRDefault="005820FD" w:rsidP="005820FD">
                  <w:pPr>
                    <w:rPr>
                      <w:rFonts w:ascii="National 2" w:hAnsi="National 2" w:cs="Calibri"/>
                      <w:sz w:val="18"/>
                      <w:szCs w:val="18"/>
                    </w:rPr>
                  </w:pPr>
                  <w:r w:rsidRPr="00583EE8">
                    <w:rPr>
                      <w:rFonts w:ascii="National 2" w:hAnsi="National 2" w:cs="Calibri"/>
                      <w:sz w:val="18"/>
                      <w:szCs w:val="18"/>
                    </w:rPr>
                    <w:t>Residential Building Construction</w:t>
                  </w:r>
                </w:p>
              </w:tc>
              <w:tc>
                <w:tcPr>
                  <w:tcW w:w="992" w:type="dxa"/>
                  <w:vAlign w:val="bottom"/>
                </w:tcPr>
                <w:p w14:paraId="53803627" w14:textId="77777777" w:rsidR="005820FD" w:rsidRPr="00583EE8" w:rsidRDefault="005820FD" w:rsidP="005820FD">
                  <w:pPr>
                    <w:jc w:val="center"/>
                    <w:rPr>
                      <w:rFonts w:ascii="National 2" w:hAnsi="National 2" w:cs="Calibri"/>
                      <w:sz w:val="18"/>
                      <w:szCs w:val="18"/>
                    </w:rPr>
                  </w:pPr>
                  <w:r w:rsidRPr="00583EE8">
                    <w:rPr>
                      <w:rFonts w:ascii="National 2" w:hAnsi="National 2" w:cs="Calibri"/>
                      <w:sz w:val="18"/>
                      <w:szCs w:val="18"/>
                    </w:rPr>
                    <w:t>13,700</w:t>
                  </w:r>
                </w:p>
              </w:tc>
              <w:tc>
                <w:tcPr>
                  <w:tcW w:w="826" w:type="dxa"/>
                  <w:shd w:val="clear" w:color="auto" w:fill="auto"/>
                  <w:vAlign w:val="bottom"/>
                </w:tcPr>
                <w:p w14:paraId="78AA6296" w14:textId="77777777" w:rsidR="005820FD" w:rsidRPr="00583EE8" w:rsidRDefault="005820FD" w:rsidP="005820FD">
                  <w:pPr>
                    <w:jc w:val="center"/>
                    <w:rPr>
                      <w:rFonts w:ascii="National 2" w:hAnsi="National 2" w:cs="Calibri"/>
                      <w:sz w:val="18"/>
                      <w:szCs w:val="18"/>
                    </w:rPr>
                  </w:pPr>
                  <w:r w:rsidRPr="00583EE8">
                    <w:rPr>
                      <w:rFonts w:ascii="National 2" w:hAnsi="National 2" w:cs="Calibri"/>
                      <w:sz w:val="18"/>
                      <w:szCs w:val="18"/>
                    </w:rPr>
                    <w:t>0.9</w:t>
                  </w:r>
                </w:p>
              </w:tc>
            </w:tr>
            <w:tr w:rsidR="005820FD" w:rsidRPr="00583EE8" w14:paraId="32CEF023" w14:textId="77777777" w:rsidTr="00642A50">
              <w:tc>
                <w:tcPr>
                  <w:tcW w:w="4277" w:type="dxa"/>
                  <w:vAlign w:val="bottom"/>
                </w:tcPr>
                <w:p w14:paraId="60536D7A" w14:textId="77777777" w:rsidR="005820FD" w:rsidRPr="00583EE8" w:rsidRDefault="005820FD" w:rsidP="005820FD">
                  <w:pPr>
                    <w:rPr>
                      <w:rFonts w:ascii="National 2" w:hAnsi="National 2" w:cs="Calibri"/>
                      <w:sz w:val="18"/>
                      <w:szCs w:val="18"/>
                    </w:rPr>
                  </w:pPr>
                  <w:r w:rsidRPr="00583EE8">
                    <w:rPr>
                      <w:rFonts w:ascii="National 2" w:hAnsi="National 2" w:cs="Calibri"/>
                      <w:sz w:val="18"/>
                      <w:szCs w:val="18"/>
                    </w:rPr>
                    <w:t>Heavy &amp; Civil Engineering Construction</w:t>
                  </w:r>
                </w:p>
              </w:tc>
              <w:tc>
                <w:tcPr>
                  <w:tcW w:w="992" w:type="dxa"/>
                  <w:vAlign w:val="bottom"/>
                </w:tcPr>
                <w:p w14:paraId="7B9BCDAA" w14:textId="77777777" w:rsidR="005820FD" w:rsidRPr="00583EE8" w:rsidRDefault="005820FD" w:rsidP="005820FD">
                  <w:pPr>
                    <w:jc w:val="center"/>
                    <w:rPr>
                      <w:rFonts w:ascii="National 2" w:hAnsi="National 2" w:cs="Calibri"/>
                      <w:sz w:val="18"/>
                      <w:szCs w:val="18"/>
                    </w:rPr>
                  </w:pPr>
                  <w:r w:rsidRPr="00583EE8">
                    <w:rPr>
                      <w:rFonts w:ascii="National 2" w:hAnsi="National 2" w:cs="Calibri"/>
                      <w:sz w:val="18"/>
                      <w:szCs w:val="18"/>
                    </w:rPr>
                    <w:t>13,300</w:t>
                  </w:r>
                </w:p>
              </w:tc>
              <w:tc>
                <w:tcPr>
                  <w:tcW w:w="826" w:type="dxa"/>
                  <w:shd w:val="clear" w:color="auto" w:fill="auto"/>
                  <w:vAlign w:val="bottom"/>
                </w:tcPr>
                <w:p w14:paraId="232DE5A0" w14:textId="77777777" w:rsidR="005820FD" w:rsidRPr="00583EE8" w:rsidRDefault="005820FD" w:rsidP="005820FD">
                  <w:pPr>
                    <w:jc w:val="center"/>
                    <w:rPr>
                      <w:rFonts w:ascii="National 2" w:hAnsi="National 2" w:cs="Calibri"/>
                      <w:sz w:val="18"/>
                      <w:szCs w:val="18"/>
                    </w:rPr>
                  </w:pPr>
                  <w:r w:rsidRPr="00583EE8">
                    <w:rPr>
                      <w:rFonts w:ascii="National 2" w:hAnsi="National 2" w:cs="Calibri"/>
                      <w:sz w:val="18"/>
                      <w:szCs w:val="18"/>
                    </w:rPr>
                    <w:t>1.0</w:t>
                  </w:r>
                </w:p>
              </w:tc>
            </w:tr>
            <w:tr w:rsidR="005820FD" w:rsidRPr="00583EE8" w14:paraId="760CDCC4" w14:textId="77777777" w:rsidTr="00642A50">
              <w:trPr>
                <w:trHeight w:val="163"/>
              </w:trPr>
              <w:tc>
                <w:tcPr>
                  <w:tcW w:w="4277" w:type="dxa"/>
                  <w:vAlign w:val="bottom"/>
                </w:tcPr>
                <w:p w14:paraId="47DF2D5B" w14:textId="77777777" w:rsidR="005820FD" w:rsidRPr="00583EE8" w:rsidRDefault="005820FD" w:rsidP="005820FD">
                  <w:pPr>
                    <w:rPr>
                      <w:rFonts w:ascii="National 2" w:hAnsi="National 2" w:cs="Calibri"/>
                      <w:sz w:val="18"/>
                      <w:szCs w:val="18"/>
                    </w:rPr>
                  </w:pPr>
                  <w:r w:rsidRPr="002B23EC">
                    <w:rPr>
                      <w:rFonts w:ascii="National 2" w:hAnsi="National 2" w:cs="Calibri"/>
                      <w:sz w:val="18"/>
                      <w:szCs w:val="18"/>
                    </w:rPr>
                    <w:t>Other Construction Services</w:t>
                  </w:r>
                </w:p>
              </w:tc>
              <w:tc>
                <w:tcPr>
                  <w:tcW w:w="992" w:type="dxa"/>
                  <w:vAlign w:val="bottom"/>
                </w:tcPr>
                <w:p w14:paraId="57DBD034" w14:textId="77777777" w:rsidR="005820FD" w:rsidRPr="00583EE8" w:rsidRDefault="005820FD" w:rsidP="005820FD">
                  <w:pPr>
                    <w:jc w:val="center"/>
                    <w:rPr>
                      <w:rFonts w:ascii="National 2" w:hAnsi="National 2" w:cs="Calibri"/>
                      <w:sz w:val="18"/>
                      <w:szCs w:val="18"/>
                    </w:rPr>
                  </w:pPr>
                  <w:r>
                    <w:rPr>
                      <w:rFonts w:ascii="National 2" w:hAnsi="National 2" w:cs="Calibri"/>
                      <w:sz w:val="18"/>
                      <w:szCs w:val="18"/>
                    </w:rPr>
                    <w:t>8,700</w:t>
                  </w:r>
                </w:p>
              </w:tc>
              <w:tc>
                <w:tcPr>
                  <w:tcW w:w="826" w:type="dxa"/>
                  <w:shd w:val="clear" w:color="auto" w:fill="auto"/>
                  <w:vAlign w:val="bottom"/>
                </w:tcPr>
                <w:p w14:paraId="26CF340F" w14:textId="77777777" w:rsidR="005820FD" w:rsidRPr="00583EE8" w:rsidRDefault="005820FD" w:rsidP="005820FD">
                  <w:pPr>
                    <w:jc w:val="center"/>
                    <w:rPr>
                      <w:rFonts w:ascii="National 2" w:hAnsi="National 2" w:cs="Calibri"/>
                      <w:sz w:val="18"/>
                      <w:szCs w:val="18"/>
                    </w:rPr>
                  </w:pPr>
                  <w:r>
                    <w:rPr>
                      <w:rFonts w:ascii="National 2" w:hAnsi="National 2" w:cs="Calibri"/>
                      <w:sz w:val="18"/>
                      <w:szCs w:val="18"/>
                    </w:rPr>
                    <w:t>1.2</w:t>
                  </w:r>
                </w:p>
              </w:tc>
            </w:tr>
          </w:tbl>
          <w:p w14:paraId="4EAF34F5" w14:textId="77777777" w:rsidR="005820FD" w:rsidRPr="00306DE5" w:rsidRDefault="005820FD" w:rsidP="00993F9D">
            <w:pPr>
              <w:rPr>
                <w:rFonts w:ascii="National 2" w:hAnsi="National 2"/>
                <w:color w:val="1B384F"/>
                <w:sz w:val="10"/>
                <w:szCs w:val="10"/>
              </w:rPr>
            </w:pPr>
          </w:p>
          <w:tbl>
            <w:tblPr>
              <w:tblStyle w:val="TableGrid"/>
              <w:tblW w:w="6095" w:type="dxa"/>
              <w:tblLayout w:type="fixed"/>
              <w:tblLook w:val="04A0" w:firstRow="1" w:lastRow="0" w:firstColumn="1" w:lastColumn="0" w:noHBand="0" w:noVBand="1"/>
            </w:tblPr>
            <w:tblGrid>
              <w:gridCol w:w="4277"/>
              <w:gridCol w:w="992"/>
              <w:gridCol w:w="826"/>
            </w:tblGrid>
            <w:tr w:rsidR="00306DE5" w:rsidRPr="00306DE5" w14:paraId="7F7B0757" w14:textId="77777777" w:rsidTr="00642A50">
              <w:tc>
                <w:tcPr>
                  <w:tcW w:w="4277" w:type="dxa"/>
                  <w:vAlign w:val="bottom"/>
                </w:tcPr>
                <w:p w14:paraId="1CEFFE03" w14:textId="77777777" w:rsidR="00993F9D" w:rsidRPr="00306DE5" w:rsidRDefault="00993F9D" w:rsidP="00993F9D">
                  <w:pPr>
                    <w:rPr>
                      <w:rFonts w:ascii="National 2" w:hAnsi="National 2" w:cs="Calibri"/>
                      <w:b/>
                      <w:bCs/>
                      <w:color w:val="1B384F"/>
                      <w:sz w:val="18"/>
                      <w:szCs w:val="18"/>
                    </w:rPr>
                  </w:pPr>
                  <w:r w:rsidRPr="00306DE5">
                    <w:rPr>
                      <w:rFonts w:ascii="National 2" w:hAnsi="National 2" w:cs="Calibri"/>
                      <w:b/>
                      <w:bCs/>
                      <w:color w:val="1B384F"/>
                      <w:sz w:val="18"/>
                      <w:szCs w:val="18"/>
                    </w:rPr>
                    <w:t>Education &amp; Training</w:t>
                  </w:r>
                </w:p>
              </w:tc>
              <w:tc>
                <w:tcPr>
                  <w:tcW w:w="992" w:type="dxa"/>
                  <w:vAlign w:val="bottom"/>
                </w:tcPr>
                <w:p w14:paraId="3DF086DE" w14:textId="77777777" w:rsidR="00993F9D" w:rsidRPr="00306DE5" w:rsidRDefault="00993F9D" w:rsidP="00993F9D">
                  <w:pPr>
                    <w:jc w:val="center"/>
                    <w:rPr>
                      <w:rFonts w:ascii="National 2" w:hAnsi="National 2"/>
                      <w:b/>
                      <w:bCs/>
                      <w:color w:val="1B384F"/>
                      <w:sz w:val="18"/>
                      <w:szCs w:val="18"/>
                    </w:rPr>
                  </w:pPr>
                  <w:r w:rsidRPr="00306DE5">
                    <w:rPr>
                      <w:rFonts w:ascii="National 2" w:hAnsi="National 2" w:cs="Calibri"/>
                      <w:b/>
                      <w:bCs/>
                      <w:color w:val="1B384F"/>
                      <w:sz w:val="18"/>
                      <w:szCs w:val="18"/>
                    </w:rPr>
                    <w:t>Jobs</w:t>
                  </w:r>
                </w:p>
              </w:tc>
              <w:tc>
                <w:tcPr>
                  <w:tcW w:w="826" w:type="dxa"/>
                  <w:vAlign w:val="bottom"/>
                </w:tcPr>
                <w:p w14:paraId="4F72BAF4" w14:textId="77777777" w:rsidR="00993F9D" w:rsidRPr="00306DE5" w:rsidRDefault="00993F9D" w:rsidP="00993F9D">
                  <w:pPr>
                    <w:jc w:val="center"/>
                    <w:rPr>
                      <w:rFonts w:ascii="National 2" w:hAnsi="National 2"/>
                      <w:b/>
                      <w:bCs/>
                      <w:color w:val="1B384F"/>
                      <w:sz w:val="18"/>
                      <w:szCs w:val="18"/>
                    </w:rPr>
                  </w:pPr>
                  <w:r w:rsidRPr="00306DE5">
                    <w:rPr>
                      <w:rFonts w:ascii="National 2" w:hAnsi="National 2" w:cs="Calibri"/>
                      <w:b/>
                      <w:bCs/>
                      <w:color w:val="1B384F"/>
                      <w:sz w:val="18"/>
                      <w:szCs w:val="18"/>
                    </w:rPr>
                    <w:t>LQ</w:t>
                  </w:r>
                </w:p>
              </w:tc>
            </w:tr>
            <w:tr w:rsidR="00993F9D" w:rsidRPr="00583EE8" w14:paraId="339252A9" w14:textId="77777777" w:rsidTr="00642A50">
              <w:tc>
                <w:tcPr>
                  <w:tcW w:w="4277" w:type="dxa"/>
                  <w:vAlign w:val="bottom"/>
                </w:tcPr>
                <w:p w14:paraId="2DD5999B" w14:textId="77777777" w:rsidR="00993F9D" w:rsidRPr="00583EE8" w:rsidRDefault="00993F9D" w:rsidP="00993F9D">
                  <w:pPr>
                    <w:rPr>
                      <w:rFonts w:ascii="National 2" w:hAnsi="National 2" w:cs="Calibri"/>
                      <w:sz w:val="18"/>
                      <w:szCs w:val="18"/>
                    </w:rPr>
                  </w:pPr>
                  <w:r w:rsidRPr="00583EE8">
                    <w:rPr>
                      <w:rFonts w:ascii="National 2" w:hAnsi="National 2" w:cs="Calibri"/>
                      <w:sz w:val="18"/>
                      <w:szCs w:val="18"/>
                    </w:rPr>
                    <w:t>School Education</w:t>
                  </w:r>
                </w:p>
              </w:tc>
              <w:tc>
                <w:tcPr>
                  <w:tcW w:w="992" w:type="dxa"/>
                  <w:vAlign w:val="bottom"/>
                </w:tcPr>
                <w:p w14:paraId="767292AB"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33,600</w:t>
                  </w:r>
                </w:p>
              </w:tc>
              <w:tc>
                <w:tcPr>
                  <w:tcW w:w="826" w:type="dxa"/>
                  <w:shd w:val="clear" w:color="auto" w:fill="auto"/>
                  <w:vAlign w:val="bottom"/>
                </w:tcPr>
                <w:p w14:paraId="24718F47"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0.9</w:t>
                  </w:r>
                </w:p>
              </w:tc>
            </w:tr>
            <w:tr w:rsidR="00993F9D" w:rsidRPr="00583EE8" w14:paraId="6022ED5B" w14:textId="77777777" w:rsidTr="00642A50">
              <w:tc>
                <w:tcPr>
                  <w:tcW w:w="4277" w:type="dxa"/>
                  <w:vAlign w:val="bottom"/>
                </w:tcPr>
                <w:p w14:paraId="0F79FC42" w14:textId="77777777" w:rsidR="00993F9D" w:rsidRPr="00583EE8" w:rsidRDefault="00993F9D" w:rsidP="00993F9D">
                  <w:pPr>
                    <w:rPr>
                      <w:rFonts w:ascii="National 2" w:hAnsi="National 2" w:cs="Calibri"/>
                      <w:sz w:val="18"/>
                      <w:szCs w:val="18"/>
                    </w:rPr>
                  </w:pPr>
                  <w:r w:rsidRPr="00583EE8">
                    <w:rPr>
                      <w:rFonts w:ascii="National 2" w:hAnsi="National 2" w:cs="Calibri"/>
                      <w:sz w:val="18"/>
                      <w:szCs w:val="18"/>
                    </w:rPr>
                    <w:t>Tertiary Education</w:t>
                  </w:r>
                </w:p>
              </w:tc>
              <w:tc>
                <w:tcPr>
                  <w:tcW w:w="992" w:type="dxa"/>
                  <w:vAlign w:val="bottom"/>
                </w:tcPr>
                <w:p w14:paraId="55CF21CE"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15,000</w:t>
                  </w:r>
                </w:p>
              </w:tc>
              <w:tc>
                <w:tcPr>
                  <w:tcW w:w="826" w:type="dxa"/>
                  <w:shd w:val="clear" w:color="auto" w:fill="auto"/>
                  <w:vAlign w:val="bottom"/>
                </w:tcPr>
                <w:p w14:paraId="0650ADA9"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1.0</w:t>
                  </w:r>
                </w:p>
              </w:tc>
            </w:tr>
            <w:tr w:rsidR="00993F9D" w:rsidRPr="00583EE8" w14:paraId="21573B2E" w14:textId="77777777" w:rsidTr="00642A50">
              <w:tc>
                <w:tcPr>
                  <w:tcW w:w="4277" w:type="dxa"/>
                  <w:shd w:val="clear" w:color="auto" w:fill="FFFFFF" w:themeFill="background1"/>
                  <w:vAlign w:val="bottom"/>
                </w:tcPr>
                <w:p w14:paraId="36F8A868" w14:textId="77777777" w:rsidR="00993F9D" w:rsidRPr="00583EE8" w:rsidRDefault="00993F9D" w:rsidP="00993F9D">
                  <w:pPr>
                    <w:rPr>
                      <w:rFonts w:ascii="National 2" w:hAnsi="National 2" w:cs="Calibri"/>
                      <w:sz w:val="18"/>
                      <w:szCs w:val="18"/>
                    </w:rPr>
                  </w:pPr>
                  <w:r w:rsidRPr="00583EE8">
                    <w:rPr>
                      <w:rFonts w:ascii="National 2" w:hAnsi="National 2" w:cs="Calibri"/>
                      <w:sz w:val="18"/>
                      <w:szCs w:val="18"/>
                    </w:rPr>
                    <w:t>Pre-school Education</w:t>
                  </w:r>
                </w:p>
              </w:tc>
              <w:tc>
                <w:tcPr>
                  <w:tcW w:w="992" w:type="dxa"/>
                  <w:vAlign w:val="bottom"/>
                </w:tcPr>
                <w:p w14:paraId="7C616A48"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9,400</w:t>
                  </w:r>
                </w:p>
              </w:tc>
              <w:tc>
                <w:tcPr>
                  <w:tcW w:w="826" w:type="dxa"/>
                  <w:shd w:val="clear" w:color="auto" w:fill="auto"/>
                  <w:vAlign w:val="bottom"/>
                </w:tcPr>
                <w:p w14:paraId="40373774"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1.2</w:t>
                  </w:r>
                </w:p>
              </w:tc>
            </w:tr>
          </w:tbl>
          <w:p w14:paraId="2A86059D" w14:textId="77777777" w:rsidR="00993F9D" w:rsidRPr="00306DE5" w:rsidRDefault="00993F9D" w:rsidP="00993F9D">
            <w:pPr>
              <w:rPr>
                <w:rFonts w:ascii="National 2" w:hAnsi="National 2"/>
                <w:color w:val="1B384F"/>
                <w:sz w:val="10"/>
                <w:szCs w:val="10"/>
              </w:rPr>
            </w:pPr>
          </w:p>
          <w:tbl>
            <w:tblPr>
              <w:tblStyle w:val="TableGrid"/>
              <w:tblW w:w="6095" w:type="dxa"/>
              <w:tblLayout w:type="fixed"/>
              <w:tblLook w:val="04A0" w:firstRow="1" w:lastRow="0" w:firstColumn="1" w:lastColumn="0" w:noHBand="0" w:noVBand="1"/>
            </w:tblPr>
            <w:tblGrid>
              <w:gridCol w:w="4277"/>
              <w:gridCol w:w="992"/>
              <w:gridCol w:w="826"/>
            </w:tblGrid>
            <w:tr w:rsidR="00306DE5" w:rsidRPr="00306DE5" w14:paraId="3772D236" w14:textId="77777777" w:rsidTr="00642A50">
              <w:tc>
                <w:tcPr>
                  <w:tcW w:w="4277" w:type="dxa"/>
                  <w:vAlign w:val="bottom"/>
                </w:tcPr>
                <w:p w14:paraId="729230D3" w14:textId="77777777" w:rsidR="00993F9D" w:rsidRPr="00306DE5" w:rsidRDefault="00993F9D" w:rsidP="00993F9D">
                  <w:pPr>
                    <w:rPr>
                      <w:rFonts w:ascii="National 2" w:hAnsi="National 2"/>
                      <w:b/>
                      <w:bCs/>
                      <w:color w:val="1B384F"/>
                      <w:sz w:val="18"/>
                      <w:szCs w:val="18"/>
                    </w:rPr>
                  </w:pPr>
                  <w:r w:rsidRPr="00306DE5">
                    <w:rPr>
                      <w:rFonts w:ascii="National 2" w:hAnsi="National 2" w:cs="Calibri"/>
                      <w:b/>
                      <w:bCs/>
                      <w:color w:val="1B384F"/>
                      <w:sz w:val="18"/>
                      <w:szCs w:val="18"/>
                    </w:rPr>
                    <w:t>Wholesale Trade</w:t>
                  </w:r>
                </w:p>
              </w:tc>
              <w:tc>
                <w:tcPr>
                  <w:tcW w:w="992" w:type="dxa"/>
                  <w:vAlign w:val="bottom"/>
                </w:tcPr>
                <w:p w14:paraId="6D67F1DB" w14:textId="77777777" w:rsidR="00993F9D" w:rsidRPr="00306DE5" w:rsidRDefault="00993F9D" w:rsidP="00993F9D">
                  <w:pPr>
                    <w:jc w:val="center"/>
                    <w:rPr>
                      <w:rFonts w:ascii="National 2" w:hAnsi="National 2"/>
                      <w:b/>
                      <w:bCs/>
                      <w:color w:val="1B384F"/>
                      <w:sz w:val="18"/>
                      <w:szCs w:val="18"/>
                    </w:rPr>
                  </w:pPr>
                  <w:r w:rsidRPr="00306DE5">
                    <w:rPr>
                      <w:rFonts w:ascii="National 2" w:hAnsi="National 2" w:cs="Calibri"/>
                      <w:b/>
                      <w:bCs/>
                      <w:color w:val="1B384F"/>
                      <w:sz w:val="18"/>
                      <w:szCs w:val="18"/>
                    </w:rPr>
                    <w:t>Jobs</w:t>
                  </w:r>
                </w:p>
              </w:tc>
              <w:tc>
                <w:tcPr>
                  <w:tcW w:w="826" w:type="dxa"/>
                  <w:vAlign w:val="bottom"/>
                </w:tcPr>
                <w:p w14:paraId="47B64B48" w14:textId="77777777" w:rsidR="00993F9D" w:rsidRPr="00306DE5" w:rsidRDefault="00993F9D" w:rsidP="00993F9D">
                  <w:pPr>
                    <w:jc w:val="center"/>
                    <w:rPr>
                      <w:rFonts w:ascii="National 2" w:hAnsi="National 2"/>
                      <w:b/>
                      <w:bCs/>
                      <w:color w:val="1B384F"/>
                      <w:sz w:val="18"/>
                      <w:szCs w:val="18"/>
                    </w:rPr>
                  </w:pPr>
                  <w:r w:rsidRPr="00306DE5">
                    <w:rPr>
                      <w:rFonts w:ascii="National 2" w:hAnsi="National 2" w:cs="Calibri"/>
                      <w:b/>
                      <w:bCs/>
                      <w:color w:val="1B384F"/>
                      <w:sz w:val="18"/>
                      <w:szCs w:val="18"/>
                    </w:rPr>
                    <w:t>LQ</w:t>
                  </w:r>
                </w:p>
              </w:tc>
            </w:tr>
            <w:tr w:rsidR="00993F9D" w:rsidRPr="00583EE8" w14:paraId="1917C73B" w14:textId="77777777" w:rsidTr="00642A50">
              <w:tc>
                <w:tcPr>
                  <w:tcW w:w="4277" w:type="dxa"/>
                  <w:vAlign w:val="bottom"/>
                </w:tcPr>
                <w:p w14:paraId="4AF73F47" w14:textId="77777777" w:rsidR="00993F9D" w:rsidRPr="00583EE8" w:rsidRDefault="00993F9D" w:rsidP="00993F9D">
                  <w:pPr>
                    <w:rPr>
                      <w:rFonts w:ascii="National 2" w:hAnsi="National 2" w:cs="Calibri"/>
                      <w:sz w:val="18"/>
                      <w:szCs w:val="18"/>
                    </w:rPr>
                  </w:pPr>
                  <w:r w:rsidRPr="00583EE8">
                    <w:rPr>
                      <w:rFonts w:ascii="National 2" w:hAnsi="National 2" w:cs="Calibri"/>
                      <w:sz w:val="18"/>
                      <w:szCs w:val="18"/>
                    </w:rPr>
                    <w:t>Grocery, Liquor &amp; Tobacco Product Wholesaling</w:t>
                  </w:r>
                </w:p>
              </w:tc>
              <w:tc>
                <w:tcPr>
                  <w:tcW w:w="992" w:type="dxa"/>
                  <w:vAlign w:val="bottom"/>
                </w:tcPr>
                <w:p w14:paraId="0A436295"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13,300</w:t>
                  </w:r>
                </w:p>
              </w:tc>
              <w:tc>
                <w:tcPr>
                  <w:tcW w:w="826" w:type="dxa"/>
                  <w:shd w:val="clear" w:color="auto" w:fill="auto"/>
                  <w:vAlign w:val="bottom"/>
                </w:tcPr>
                <w:p w14:paraId="5629B529"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1.3</w:t>
                  </w:r>
                </w:p>
              </w:tc>
            </w:tr>
            <w:tr w:rsidR="00993F9D" w:rsidRPr="00583EE8" w14:paraId="37309C15" w14:textId="77777777" w:rsidTr="00642A50">
              <w:tc>
                <w:tcPr>
                  <w:tcW w:w="4277" w:type="dxa"/>
                  <w:vAlign w:val="bottom"/>
                </w:tcPr>
                <w:p w14:paraId="4042D409" w14:textId="77777777" w:rsidR="00993F9D" w:rsidRPr="00583EE8" w:rsidRDefault="00993F9D" w:rsidP="00993F9D">
                  <w:pPr>
                    <w:rPr>
                      <w:rFonts w:ascii="National 2" w:hAnsi="National 2" w:cs="Calibri"/>
                      <w:sz w:val="18"/>
                      <w:szCs w:val="18"/>
                    </w:rPr>
                  </w:pPr>
                  <w:r w:rsidRPr="00583EE8">
                    <w:rPr>
                      <w:rFonts w:ascii="National 2" w:hAnsi="National 2" w:cs="Calibri"/>
                      <w:sz w:val="18"/>
                      <w:szCs w:val="18"/>
                    </w:rPr>
                    <w:t>Other Machinery &amp; Equipment Wholesaling</w:t>
                  </w:r>
                </w:p>
              </w:tc>
              <w:tc>
                <w:tcPr>
                  <w:tcW w:w="992" w:type="dxa"/>
                  <w:vAlign w:val="bottom"/>
                </w:tcPr>
                <w:p w14:paraId="5ECD408C"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12,500</w:t>
                  </w:r>
                </w:p>
              </w:tc>
              <w:tc>
                <w:tcPr>
                  <w:tcW w:w="826" w:type="dxa"/>
                  <w:shd w:val="clear" w:color="auto" w:fill="auto"/>
                  <w:vAlign w:val="bottom"/>
                </w:tcPr>
                <w:p w14:paraId="03322E8D"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1.8</w:t>
                  </w:r>
                </w:p>
              </w:tc>
            </w:tr>
            <w:tr w:rsidR="00993F9D" w:rsidRPr="00583EE8" w14:paraId="6ED7B9F3" w14:textId="77777777" w:rsidTr="00642A50">
              <w:tc>
                <w:tcPr>
                  <w:tcW w:w="4277" w:type="dxa"/>
                  <w:vAlign w:val="bottom"/>
                </w:tcPr>
                <w:p w14:paraId="5EE0A8B2" w14:textId="77777777" w:rsidR="00993F9D" w:rsidRPr="00583EE8" w:rsidRDefault="00993F9D" w:rsidP="00993F9D">
                  <w:pPr>
                    <w:rPr>
                      <w:rFonts w:ascii="National 2" w:hAnsi="National 2" w:cs="Calibri"/>
                      <w:sz w:val="18"/>
                      <w:szCs w:val="18"/>
                    </w:rPr>
                  </w:pPr>
                  <w:r w:rsidRPr="00583EE8">
                    <w:rPr>
                      <w:rFonts w:ascii="National 2" w:hAnsi="National 2" w:cs="Calibri"/>
                      <w:sz w:val="18"/>
                      <w:szCs w:val="18"/>
                    </w:rPr>
                    <w:t>Furniture, Floor Coverings &amp; Other Goods</w:t>
                  </w:r>
                </w:p>
              </w:tc>
              <w:tc>
                <w:tcPr>
                  <w:tcW w:w="992" w:type="dxa"/>
                  <w:vAlign w:val="bottom"/>
                </w:tcPr>
                <w:p w14:paraId="6BB4A80D"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8,900</w:t>
                  </w:r>
                </w:p>
              </w:tc>
              <w:tc>
                <w:tcPr>
                  <w:tcW w:w="826" w:type="dxa"/>
                  <w:shd w:val="clear" w:color="auto" w:fill="auto"/>
                  <w:vAlign w:val="bottom"/>
                </w:tcPr>
                <w:p w14:paraId="0C9FF070"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1.8</w:t>
                  </w:r>
                </w:p>
              </w:tc>
            </w:tr>
            <w:tr w:rsidR="00993F9D" w:rsidRPr="00583EE8" w14:paraId="0F1462AB" w14:textId="77777777" w:rsidTr="00642A50">
              <w:tc>
                <w:tcPr>
                  <w:tcW w:w="4277" w:type="dxa"/>
                  <w:vAlign w:val="bottom"/>
                </w:tcPr>
                <w:p w14:paraId="65058122" w14:textId="77777777" w:rsidR="00993F9D" w:rsidRPr="00583EE8" w:rsidRDefault="00993F9D" w:rsidP="00993F9D">
                  <w:pPr>
                    <w:rPr>
                      <w:rFonts w:ascii="National 2" w:hAnsi="National 2" w:cs="Calibri"/>
                      <w:sz w:val="18"/>
                      <w:szCs w:val="18"/>
                    </w:rPr>
                  </w:pPr>
                  <w:r w:rsidRPr="00583EE8">
                    <w:rPr>
                      <w:rFonts w:ascii="National 2" w:hAnsi="National 2" w:cs="Calibri"/>
                      <w:sz w:val="18"/>
                      <w:szCs w:val="18"/>
                    </w:rPr>
                    <w:t>Pharmaceutical &amp; Toiletry Goods Wholesaling</w:t>
                  </w:r>
                </w:p>
              </w:tc>
              <w:tc>
                <w:tcPr>
                  <w:tcW w:w="992" w:type="dxa"/>
                  <w:vAlign w:val="bottom"/>
                </w:tcPr>
                <w:p w14:paraId="1F37D7E2"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3,900</w:t>
                  </w:r>
                </w:p>
              </w:tc>
              <w:tc>
                <w:tcPr>
                  <w:tcW w:w="826" w:type="dxa"/>
                  <w:shd w:val="clear" w:color="auto" w:fill="E2EFD9" w:themeFill="accent6" w:themeFillTint="33"/>
                  <w:vAlign w:val="bottom"/>
                </w:tcPr>
                <w:p w14:paraId="3C61CD79"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2.1</w:t>
                  </w:r>
                </w:p>
              </w:tc>
            </w:tr>
            <w:tr w:rsidR="00993F9D" w:rsidRPr="00583EE8" w14:paraId="067A25F4" w14:textId="77777777" w:rsidTr="00642A50">
              <w:trPr>
                <w:trHeight w:val="163"/>
              </w:trPr>
              <w:tc>
                <w:tcPr>
                  <w:tcW w:w="4277" w:type="dxa"/>
                  <w:vAlign w:val="bottom"/>
                </w:tcPr>
                <w:p w14:paraId="1C19E715" w14:textId="77777777" w:rsidR="00993F9D" w:rsidRPr="00583EE8" w:rsidRDefault="00993F9D" w:rsidP="00993F9D">
                  <w:pPr>
                    <w:rPr>
                      <w:rFonts w:ascii="National 2" w:hAnsi="National 2" w:cs="Calibri"/>
                      <w:sz w:val="18"/>
                      <w:szCs w:val="18"/>
                    </w:rPr>
                  </w:pPr>
                  <w:r w:rsidRPr="00583EE8">
                    <w:rPr>
                      <w:rFonts w:ascii="National 2" w:hAnsi="National 2" w:cs="Calibri"/>
                      <w:sz w:val="18"/>
                      <w:szCs w:val="18"/>
                    </w:rPr>
                    <w:t>Specialised Ind Machinery &amp; Equipment Wholesal</w:t>
                  </w:r>
                  <w:r>
                    <w:rPr>
                      <w:rFonts w:ascii="National 2" w:hAnsi="National 2" w:cs="Calibri"/>
                      <w:sz w:val="18"/>
                      <w:szCs w:val="18"/>
                    </w:rPr>
                    <w:t>e</w:t>
                  </w:r>
                </w:p>
              </w:tc>
              <w:tc>
                <w:tcPr>
                  <w:tcW w:w="992" w:type="dxa"/>
                  <w:vAlign w:val="bottom"/>
                </w:tcPr>
                <w:p w14:paraId="28C2C382"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3,850</w:t>
                  </w:r>
                </w:p>
              </w:tc>
              <w:tc>
                <w:tcPr>
                  <w:tcW w:w="826" w:type="dxa"/>
                  <w:shd w:val="clear" w:color="auto" w:fill="auto"/>
                  <w:vAlign w:val="bottom"/>
                </w:tcPr>
                <w:p w14:paraId="52D31284" w14:textId="77777777" w:rsidR="00993F9D" w:rsidRPr="00583EE8" w:rsidRDefault="00993F9D" w:rsidP="00993F9D">
                  <w:pPr>
                    <w:jc w:val="center"/>
                    <w:rPr>
                      <w:rFonts w:ascii="National 2" w:hAnsi="National 2" w:cs="Calibri"/>
                      <w:sz w:val="18"/>
                      <w:szCs w:val="18"/>
                    </w:rPr>
                  </w:pPr>
                  <w:r w:rsidRPr="00583EE8">
                    <w:rPr>
                      <w:rFonts w:ascii="National 2" w:hAnsi="National 2" w:cs="Calibri"/>
                      <w:sz w:val="18"/>
                      <w:szCs w:val="18"/>
                    </w:rPr>
                    <w:t>0.9</w:t>
                  </w:r>
                </w:p>
              </w:tc>
            </w:tr>
          </w:tbl>
          <w:p w14:paraId="45F92273" w14:textId="77777777" w:rsidR="00993F9D" w:rsidRDefault="00993F9D" w:rsidP="00993F9D">
            <w:pPr>
              <w:spacing w:before="120" w:after="120"/>
              <w:rPr>
                <w:rFonts w:ascii="National 2" w:hAnsi="National 2"/>
                <w:sz w:val="18"/>
                <w:szCs w:val="18"/>
              </w:rPr>
            </w:pPr>
          </w:p>
        </w:tc>
      </w:tr>
    </w:tbl>
    <w:p w14:paraId="228F98FF" w14:textId="77777777" w:rsidR="005F40F2" w:rsidRDefault="005F40F2" w:rsidP="005F40F2">
      <w:pPr>
        <w:rPr>
          <w:rFonts w:ascii="National 2" w:hAnsi="National 2"/>
          <w:sz w:val="18"/>
          <w:szCs w:val="18"/>
        </w:rPr>
        <w:sectPr w:rsidR="005F40F2" w:rsidSect="009B0CEE">
          <w:pgSz w:w="23811" w:h="16838" w:orient="landscape" w:code="8"/>
          <w:pgMar w:top="720" w:right="720" w:bottom="720" w:left="720" w:header="708" w:footer="708" w:gutter="0"/>
          <w:cols w:space="708"/>
          <w:docGrid w:linePitch="360"/>
        </w:sectPr>
      </w:pPr>
    </w:p>
    <w:tbl>
      <w:tblPr>
        <w:tblStyle w:val="TableGrid"/>
        <w:tblW w:w="23106" w:type="dxa"/>
        <w:tblInd w:w="-1134" w:type="dxa"/>
        <w:tblLook w:val="04A0" w:firstRow="1" w:lastRow="0" w:firstColumn="1" w:lastColumn="0" w:noHBand="0" w:noVBand="1"/>
      </w:tblPr>
      <w:tblGrid>
        <w:gridCol w:w="7266"/>
        <w:gridCol w:w="7416"/>
        <w:gridCol w:w="8424"/>
      </w:tblGrid>
      <w:tr w:rsidR="00F56F3B" w:rsidRPr="005F40F2" w14:paraId="7AF7C4E0" w14:textId="77777777" w:rsidTr="00631962">
        <w:trPr>
          <w:trHeight w:val="1560"/>
        </w:trPr>
        <w:tc>
          <w:tcPr>
            <w:tcW w:w="7266" w:type="dxa"/>
            <w:tcBorders>
              <w:top w:val="nil"/>
              <w:left w:val="nil"/>
              <w:bottom w:val="nil"/>
              <w:right w:val="nil"/>
            </w:tcBorders>
          </w:tcPr>
          <w:p w14:paraId="60382D95" w14:textId="5585C743" w:rsidR="0086056F" w:rsidRDefault="0086056F" w:rsidP="0086056F">
            <w:pPr>
              <w:spacing w:after="120"/>
              <w:rPr>
                <w:rFonts w:ascii="National 2" w:hAnsi="National 2"/>
                <w:b/>
                <w:bCs/>
                <w:color w:val="1B324F"/>
              </w:rPr>
            </w:pPr>
            <w:r w:rsidRPr="00E87385">
              <w:rPr>
                <w:rFonts w:ascii="National 2" w:hAnsi="National 2"/>
                <w:b/>
                <w:bCs/>
                <w:color w:val="1B324F"/>
              </w:rPr>
              <w:lastRenderedPageBreak/>
              <w:t xml:space="preserve">Location </w:t>
            </w:r>
            <w:r w:rsidR="005E313A">
              <w:rPr>
                <w:rFonts w:ascii="National 2" w:hAnsi="National 2"/>
                <w:b/>
                <w:bCs/>
                <w:color w:val="1B324F"/>
              </w:rPr>
              <w:t>Q</w:t>
            </w:r>
            <w:r w:rsidRPr="00E87385">
              <w:rPr>
                <w:rFonts w:ascii="National 2" w:hAnsi="National 2"/>
                <w:b/>
                <w:bCs/>
                <w:color w:val="1B324F"/>
              </w:rPr>
              <w:t>uotient (job concentration)</w:t>
            </w:r>
          </w:p>
          <w:p w14:paraId="5091DABB" w14:textId="0210C816" w:rsidR="00345528" w:rsidRPr="00123B9B" w:rsidRDefault="0086056F" w:rsidP="00387817">
            <w:pPr>
              <w:spacing w:after="120"/>
              <w:rPr>
                <w:rFonts w:ascii="National 2" w:hAnsi="National 2"/>
                <w:sz w:val="18"/>
                <w:szCs w:val="18"/>
              </w:rPr>
            </w:pPr>
            <w:r w:rsidRPr="00E867FE">
              <w:rPr>
                <w:rFonts w:ascii="National 2" w:hAnsi="National 2"/>
                <w:sz w:val="18"/>
                <w:szCs w:val="18"/>
              </w:rPr>
              <w:t>The Auckland region has overall a similar employment concentration to the country</w:t>
            </w:r>
            <w:r>
              <w:rPr>
                <w:rFonts w:ascii="National 2" w:hAnsi="National 2"/>
                <w:sz w:val="18"/>
                <w:szCs w:val="18"/>
              </w:rPr>
              <w:t xml:space="preserve"> as a whole</w:t>
            </w:r>
            <w:r w:rsidRPr="00E867FE">
              <w:rPr>
                <w:rFonts w:ascii="National 2" w:hAnsi="National 2"/>
                <w:sz w:val="18"/>
                <w:szCs w:val="18"/>
              </w:rPr>
              <w:t xml:space="preserve">. It is slightly more concentrated in professional services as well as </w:t>
            </w:r>
            <w:r>
              <w:rPr>
                <w:rFonts w:ascii="National 2" w:hAnsi="National 2"/>
                <w:sz w:val="18"/>
                <w:szCs w:val="18"/>
              </w:rPr>
              <w:t>wholesale trade and these sectors have become more concentrated over the last 20 years</w:t>
            </w:r>
            <w:r w:rsidRPr="00E867FE">
              <w:rPr>
                <w:rFonts w:ascii="National 2" w:hAnsi="National 2"/>
                <w:sz w:val="18"/>
                <w:szCs w:val="18"/>
              </w:rPr>
              <w:t xml:space="preserve">. Manufacturing </w:t>
            </w:r>
            <w:r w:rsidRPr="00123B9B">
              <w:rPr>
                <w:rFonts w:ascii="National 2" w:hAnsi="National 2"/>
                <w:sz w:val="18"/>
                <w:szCs w:val="18"/>
              </w:rPr>
              <w:t>employment has become slightly less concentrated in the region relative to the country.</w:t>
            </w:r>
          </w:p>
          <w:p w14:paraId="6639A6E3" w14:textId="7FCD7565" w:rsidR="0086056F" w:rsidRPr="00E867FE" w:rsidRDefault="00123B9B" w:rsidP="0086056F">
            <w:pPr>
              <w:spacing w:after="120"/>
              <w:rPr>
                <w:rFonts w:ascii="National 2" w:hAnsi="National 2"/>
                <w:sz w:val="18"/>
                <w:szCs w:val="18"/>
              </w:rPr>
            </w:pPr>
            <w:r w:rsidRPr="007C2B25">
              <w:rPr>
                <w:rFonts w:ascii="National 2" w:hAnsi="National 2"/>
                <w:sz w:val="18"/>
                <w:szCs w:val="18"/>
              </w:rPr>
              <w:t>Information Media and Financial &amp; Insurance Services both have location quotients (LQ) of 1.5</w:t>
            </w:r>
            <w:r w:rsidR="00452960" w:rsidRPr="007C2B25">
              <w:rPr>
                <w:rFonts w:ascii="National 2" w:hAnsi="National 2"/>
                <w:sz w:val="18"/>
                <w:szCs w:val="18"/>
              </w:rPr>
              <w:t xml:space="preserve"> meaning they are </w:t>
            </w:r>
            <w:r w:rsidRPr="007C2B25">
              <w:rPr>
                <w:rFonts w:ascii="National 2" w:hAnsi="National 2"/>
                <w:sz w:val="18"/>
                <w:szCs w:val="18"/>
              </w:rPr>
              <w:t>concentrated in Auckland, especially in City Centre</w:t>
            </w:r>
            <w:r w:rsidR="004B20FF" w:rsidRPr="007C2B25">
              <w:rPr>
                <w:rFonts w:ascii="National 2" w:hAnsi="National 2"/>
                <w:sz w:val="18"/>
                <w:szCs w:val="18"/>
              </w:rPr>
              <w:t xml:space="preserve"> where </w:t>
            </w:r>
            <w:r w:rsidR="00243B07" w:rsidRPr="007C2B25">
              <w:rPr>
                <w:rFonts w:ascii="National 2" w:hAnsi="National 2"/>
                <w:sz w:val="18"/>
                <w:szCs w:val="18"/>
              </w:rPr>
              <w:t>the financial sector has a quotient of 3.7</w:t>
            </w:r>
            <w:r w:rsidR="00B628D3" w:rsidRPr="007C2B25">
              <w:rPr>
                <w:rFonts w:ascii="National 2" w:hAnsi="National 2"/>
                <w:sz w:val="18"/>
                <w:szCs w:val="18"/>
              </w:rPr>
              <w:t xml:space="preserve"> and the LQ for information media is 2.7</w:t>
            </w:r>
            <w:r w:rsidR="00243B07" w:rsidRPr="007C2B25">
              <w:rPr>
                <w:rFonts w:ascii="National 2" w:hAnsi="National 2"/>
                <w:sz w:val="18"/>
                <w:szCs w:val="18"/>
              </w:rPr>
              <w:t>.</w:t>
            </w:r>
          </w:p>
          <w:p w14:paraId="7FA02893" w14:textId="38166C56" w:rsidR="00993F9D" w:rsidRPr="008D4E8B" w:rsidRDefault="00F77620" w:rsidP="00C32202">
            <w:pPr>
              <w:spacing w:after="120"/>
              <w:rPr>
                <w:rFonts w:ascii="National 2" w:hAnsi="National 2"/>
                <w:sz w:val="18"/>
                <w:szCs w:val="18"/>
              </w:rPr>
            </w:pPr>
            <w:r>
              <w:rPr>
                <w:noProof/>
              </w:rPr>
              <w:drawing>
                <wp:inline distT="0" distB="0" distL="0" distR="0" wp14:anchorId="1345D160" wp14:editId="1FF5A736">
                  <wp:extent cx="4472940" cy="1228725"/>
                  <wp:effectExtent l="0" t="0" r="3810" b="0"/>
                  <wp:docPr id="14" name="Chart 14">
                    <a:extLst xmlns:a="http://schemas.openxmlformats.org/drawingml/2006/main">
                      <a:ext uri="{FF2B5EF4-FFF2-40B4-BE49-F238E27FC236}">
                        <a16:creationId xmlns:a16="http://schemas.microsoft.com/office/drawing/2014/main" id="{0AE17618-C2CA-C928-247A-7199E1A485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993F9D" w:rsidRPr="00E87385">
              <w:rPr>
                <w:rFonts w:ascii="National 2" w:hAnsi="National 2"/>
                <w:b/>
                <w:bCs/>
                <w:color w:val="1B324F"/>
                <w:sz w:val="24"/>
                <w:szCs w:val="24"/>
              </w:rPr>
              <w:t xml:space="preserve"> </w:t>
            </w:r>
          </w:p>
          <w:p w14:paraId="2F51E497" w14:textId="77777777" w:rsidR="00D402BA" w:rsidRDefault="00D402BA" w:rsidP="00D402BA">
            <w:pPr>
              <w:spacing w:after="60"/>
              <w:rPr>
                <w:rFonts w:ascii="National 2" w:hAnsi="National 2"/>
                <w:b/>
                <w:bCs/>
                <w:color w:val="1B324F"/>
                <w:sz w:val="24"/>
                <w:szCs w:val="24"/>
              </w:rPr>
            </w:pPr>
            <w:r>
              <w:rPr>
                <w:rFonts w:ascii="National 2" w:hAnsi="National 2"/>
                <w:b/>
                <w:bCs/>
                <w:color w:val="1B324F"/>
                <w:sz w:val="24"/>
                <w:szCs w:val="24"/>
              </w:rPr>
              <w:t>Spatial Economy and Locational Change</w:t>
            </w:r>
          </w:p>
          <w:p w14:paraId="73BB43C1" w14:textId="77777777" w:rsidR="00D402BA" w:rsidRPr="004E16EE" w:rsidRDefault="00D402BA" w:rsidP="00D402BA">
            <w:pPr>
              <w:spacing w:after="120"/>
              <w:rPr>
                <w:rFonts w:ascii="National 2" w:hAnsi="National 2"/>
                <w:sz w:val="18"/>
                <w:szCs w:val="18"/>
              </w:rPr>
            </w:pPr>
            <w:r w:rsidRPr="004E16EE">
              <w:rPr>
                <w:rFonts w:ascii="National 2" w:hAnsi="National 2"/>
                <w:sz w:val="18"/>
                <w:szCs w:val="18"/>
              </w:rPr>
              <w:t xml:space="preserve">Most employment is located in central Auckland, with additional important locations south of the central city in an industrial belt that runs from Onehunga-Te Papapa across to East Tāmaki, and another further south in the Manukau, Wiri and Auckland Airport area. </w:t>
            </w:r>
          </w:p>
          <w:p w14:paraId="31FDB4C1" w14:textId="77777777" w:rsidR="00164D56" w:rsidRPr="004E16EE" w:rsidRDefault="00D402BA" w:rsidP="00164D56">
            <w:pPr>
              <w:spacing w:after="120"/>
              <w:rPr>
                <w:rFonts w:ascii="National 2" w:hAnsi="National 2"/>
                <w:sz w:val="18"/>
                <w:szCs w:val="18"/>
              </w:rPr>
            </w:pPr>
            <w:r w:rsidRPr="004E16EE">
              <w:rPr>
                <w:rFonts w:ascii="National 2" w:hAnsi="National 2"/>
                <w:sz w:val="18"/>
                <w:szCs w:val="18"/>
              </w:rPr>
              <w:t>Almost half of Auckland’s employment can be found in the</w:t>
            </w:r>
            <w:r w:rsidR="00164D56">
              <w:rPr>
                <w:rFonts w:ascii="National 2" w:hAnsi="National 2"/>
                <w:sz w:val="18"/>
                <w:szCs w:val="18"/>
              </w:rPr>
              <w:t>se</w:t>
            </w:r>
            <w:r w:rsidRPr="004E16EE">
              <w:rPr>
                <w:rFonts w:ascii="National 2" w:hAnsi="National 2"/>
                <w:sz w:val="18"/>
                <w:szCs w:val="18"/>
              </w:rPr>
              <w:t xml:space="preserve"> three main employment areas, emphasising their importance.  </w:t>
            </w:r>
            <w:r w:rsidR="00164D56">
              <w:rPr>
                <w:rFonts w:ascii="National 2" w:hAnsi="National 2"/>
                <w:sz w:val="18"/>
                <w:szCs w:val="18"/>
              </w:rPr>
              <w:t>A further employment zone at North Harbour is also regionally significant, while West Auckland has no employment areas that are regional in scale.</w:t>
            </w:r>
          </w:p>
          <w:p w14:paraId="72232737" w14:textId="6D0C2DFF" w:rsidR="00D402BA" w:rsidRDefault="00D402BA" w:rsidP="00D402BA">
            <w:pPr>
              <w:spacing w:after="120"/>
              <w:rPr>
                <w:rFonts w:ascii="National 2" w:hAnsi="National 2"/>
                <w:sz w:val="18"/>
                <w:szCs w:val="18"/>
              </w:rPr>
            </w:pPr>
            <w:r w:rsidRPr="004E16EE">
              <w:rPr>
                <w:rFonts w:ascii="National 2" w:hAnsi="National 2"/>
                <w:sz w:val="18"/>
                <w:szCs w:val="18"/>
              </w:rPr>
              <w:t>Smaller employment areas in the north and west are sub-regionally important in terms of the opportunities they provide for the local labour markets.</w:t>
            </w:r>
          </w:p>
          <w:p w14:paraId="4181178C" w14:textId="538DFD80" w:rsidR="00D402BA" w:rsidRPr="00DA6DDE" w:rsidRDefault="00D402BA" w:rsidP="00D402BA">
            <w:pPr>
              <w:spacing w:before="120" w:after="120"/>
              <w:rPr>
                <w:rFonts w:ascii="National 2" w:hAnsi="National 2"/>
                <w:sz w:val="18"/>
                <w:szCs w:val="18"/>
              </w:rPr>
            </w:pPr>
            <w:r w:rsidRPr="00DA6DDE">
              <w:rPr>
                <w:rFonts w:ascii="National 2" w:hAnsi="National 2"/>
                <w:sz w:val="18"/>
                <w:szCs w:val="18"/>
              </w:rPr>
              <w:t xml:space="preserve">As industries change and their space and infrastructure </w:t>
            </w:r>
            <w:r w:rsidR="00164D56">
              <w:rPr>
                <w:rFonts w:ascii="National 2" w:hAnsi="National 2"/>
                <w:sz w:val="18"/>
                <w:szCs w:val="18"/>
              </w:rPr>
              <w:t>requirements</w:t>
            </w:r>
            <w:r w:rsidRPr="00DA6DDE">
              <w:rPr>
                <w:rFonts w:ascii="National 2" w:hAnsi="National 2"/>
                <w:sz w:val="18"/>
                <w:szCs w:val="18"/>
              </w:rPr>
              <w:t xml:space="preserve"> change</w:t>
            </w:r>
            <w:r w:rsidR="00EF1BE0">
              <w:rPr>
                <w:rFonts w:ascii="National 2" w:hAnsi="National 2"/>
                <w:sz w:val="18"/>
                <w:szCs w:val="18"/>
              </w:rPr>
              <w:t>,</w:t>
            </w:r>
            <w:r w:rsidRPr="00DA6DDE">
              <w:rPr>
                <w:rFonts w:ascii="National 2" w:hAnsi="National 2"/>
                <w:sz w:val="18"/>
                <w:szCs w:val="18"/>
              </w:rPr>
              <w:t xml:space="preserve"> </w:t>
            </w:r>
            <w:r w:rsidR="00A31140">
              <w:rPr>
                <w:rFonts w:ascii="National 2" w:hAnsi="National 2"/>
                <w:sz w:val="18"/>
                <w:szCs w:val="18"/>
              </w:rPr>
              <w:t xml:space="preserve">with firms showing a preference for newer prime grade premises, </w:t>
            </w:r>
            <w:r w:rsidRPr="00DA6DDE">
              <w:rPr>
                <w:rFonts w:ascii="National 2" w:hAnsi="National 2"/>
                <w:sz w:val="18"/>
                <w:szCs w:val="18"/>
              </w:rPr>
              <w:t xml:space="preserve">employment areas have </w:t>
            </w:r>
            <w:r w:rsidR="001B3EAF">
              <w:rPr>
                <w:rFonts w:ascii="National 2" w:hAnsi="National 2"/>
                <w:sz w:val="18"/>
                <w:szCs w:val="18"/>
              </w:rPr>
              <w:t xml:space="preserve">also </w:t>
            </w:r>
            <w:r w:rsidR="00D370AE" w:rsidRPr="00DA6DDE">
              <w:rPr>
                <w:rFonts w:ascii="National 2" w:hAnsi="National 2"/>
                <w:sz w:val="18"/>
                <w:szCs w:val="18"/>
              </w:rPr>
              <w:t>changed</w:t>
            </w:r>
            <w:r w:rsidR="006277F9">
              <w:rPr>
                <w:rFonts w:ascii="National 2" w:hAnsi="National 2"/>
                <w:sz w:val="18"/>
                <w:szCs w:val="18"/>
              </w:rPr>
              <w:t>. I</w:t>
            </w:r>
            <w:r w:rsidRPr="00DA6DDE">
              <w:rPr>
                <w:rFonts w:ascii="National 2" w:hAnsi="National 2"/>
                <w:sz w:val="18"/>
                <w:szCs w:val="18"/>
              </w:rPr>
              <w:t xml:space="preserve">ndustries have relocated to find areas that </w:t>
            </w:r>
            <w:r w:rsidR="00A31140">
              <w:rPr>
                <w:rFonts w:ascii="National 2" w:hAnsi="National 2"/>
                <w:sz w:val="18"/>
                <w:szCs w:val="18"/>
              </w:rPr>
              <w:t xml:space="preserve">have premises that </w:t>
            </w:r>
            <w:r w:rsidRPr="00DA6DDE">
              <w:rPr>
                <w:rFonts w:ascii="National 2" w:hAnsi="National 2"/>
                <w:sz w:val="18"/>
                <w:szCs w:val="18"/>
              </w:rPr>
              <w:t>meet their needs</w:t>
            </w:r>
            <w:r w:rsidR="00D370AE">
              <w:rPr>
                <w:rFonts w:ascii="National 2" w:hAnsi="National 2"/>
                <w:sz w:val="18"/>
                <w:szCs w:val="18"/>
              </w:rPr>
              <w:t>, changing the spatial distribution of employment in different sectors.</w:t>
            </w:r>
          </w:p>
          <w:p w14:paraId="4EEC8AAA" w14:textId="11DF225E" w:rsidR="009A65D1" w:rsidRPr="00D370AE" w:rsidRDefault="004966FF" w:rsidP="00397BA7">
            <w:pPr>
              <w:autoSpaceDE w:val="0"/>
              <w:autoSpaceDN w:val="0"/>
              <w:adjustRightInd w:val="0"/>
              <w:spacing w:before="120" w:after="120"/>
              <w:rPr>
                <w:rFonts w:ascii="National 2" w:hAnsi="National 2" w:cs="Gibson-Light"/>
                <w:sz w:val="18"/>
                <w:szCs w:val="18"/>
              </w:rPr>
            </w:pPr>
            <w:r w:rsidRPr="005F24FC">
              <w:rPr>
                <w:rFonts w:ascii="National 2" w:hAnsi="National 2"/>
                <w:b/>
                <w:bCs/>
                <w:color w:val="00A6A7"/>
                <w:sz w:val="18"/>
                <w:szCs w:val="18"/>
              </w:rPr>
              <w:t>L</w:t>
            </w:r>
            <w:r w:rsidR="00C75A6A" w:rsidRPr="005F24FC">
              <w:rPr>
                <w:rFonts w:ascii="National 2" w:hAnsi="National 2"/>
                <w:b/>
                <w:bCs/>
                <w:color w:val="00A6A7"/>
                <w:sz w:val="18"/>
                <w:szCs w:val="18"/>
              </w:rPr>
              <w:t>arger and</w:t>
            </w:r>
            <w:r w:rsidR="00356BF2" w:rsidRPr="005F24FC">
              <w:rPr>
                <w:rFonts w:ascii="National 2" w:hAnsi="National 2"/>
                <w:b/>
                <w:bCs/>
                <w:color w:val="00A6A7"/>
                <w:sz w:val="18"/>
                <w:szCs w:val="18"/>
              </w:rPr>
              <w:t xml:space="preserve"> newer employment precincts</w:t>
            </w:r>
            <w:r w:rsidR="000911E8">
              <w:rPr>
                <w:rFonts w:ascii="National 2" w:hAnsi="National 2" w:cs="Gibson-Light"/>
                <w:sz w:val="18"/>
                <w:szCs w:val="18"/>
              </w:rPr>
              <w:t xml:space="preserve"> with </w:t>
            </w:r>
            <w:r w:rsidR="006277F9">
              <w:rPr>
                <w:rFonts w:ascii="National 2" w:hAnsi="National 2" w:cs="Gibson-Light"/>
                <w:sz w:val="18"/>
                <w:szCs w:val="18"/>
              </w:rPr>
              <w:t>more prime grade industrial stock</w:t>
            </w:r>
            <w:r>
              <w:rPr>
                <w:rFonts w:ascii="National 2" w:hAnsi="National 2" w:cs="Gibson-Light"/>
                <w:sz w:val="18"/>
                <w:szCs w:val="18"/>
              </w:rPr>
              <w:t xml:space="preserve"> have been</w:t>
            </w:r>
            <w:r w:rsidR="00356BF2" w:rsidRPr="00D370AE">
              <w:rPr>
                <w:rFonts w:ascii="National 2" w:hAnsi="National 2" w:cs="Gibson-Light"/>
                <w:sz w:val="18"/>
                <w:szCs w:val="18"/>
              </w:rPr>
              <w:t xml:space="preserve"> better placed to attract firms in growth and higher value add sectors offering well-paying employment than other</w:t>
            </w:r>
            <w:r>
              <w:rPr>
                <w:rFonts w:ascii="National 2" w:hAnsi="National 2" w:cs="Gibson-Light"/>
                <w:sz w:val="18"/>
                <w:szCs w:val="18"/>
              </w:rPr>
              <w:t xml:space="preserve"> areas</w:t>
            </w:r>
            <w:r w:rsidR="00356BF2" w:rsidRPr="00D370AE">
              <w:rPr>
                <w:rFonts w:ascii="National 2" w:hAnsi="National 2" w:cs="Gibson-Light"/>
                <w:sz w:val="18"/>
                <w:szCs w:val="18"/>
              </w:rPr>
              <w:t xml:space="preserve"> where a transition in sectoral mix to lower value add activity is evident.</w:t>
            </w:r>
            <w:r w:rsidR="00D036B4" w:rsidRPr="00D370AE">
              <w:rPr>
                <w:rFonts w:ascii="National 2" w:hAnsi="National 2" w:cs="Gibson-Light"/>
                <w:sz w:val="18"/>
                <w:szCs w:val="18"/>
              </w:rPr>
              <w:t xml:space="preserve"> </w:t>
            </w:r>
            <w:r w:rsidR="00AA76BA" w:rsidRPr="00D370AE">
              <w:rPr>
                <w:rFonts w:ascii="National 2" w:hAnsi="National 2" w:cs="Gibson-Light"/>
                <w:sz w:val="18"/>
                <w:szCs w:val="18"/>
              </w:rPr>
              <w:t xml:space="preserve">Precincts like </w:t>
            </w:r>
            <w:r w:rsidR="000D69A0" w:rsidRPr="00D370AE">
              <w:rPr>
                <w:rFonts w:ascii="National 2" w:hAnsi="National 2" w:cs="Gibson-Light"/>
                <w:sz w:val="18"/>
                <w:szCs w:val="18"/>
              </w:rPr>
              <w:t>East Tāmaki (Highbrook), Auckland Airport, North Harbour</w:t>
            </w:r>
            <w:r w:rsidR="00AA76BA" w:rsidRPr="00D370AE">
              <w:rPr>
                <w:rFonts w:ascii="National 2" w:hAnsi="National 2" w:cs="Gibson-Light"/>
                <w:sz w:val="18"/>
                <w:szCs w:val="18"/>
              </w:rPr>
              <w:t xml:space="preserve"> and Penrose have seen most employment growth</w:t>
            </w:r>
            <w:r w:rsidR="00023278" w:rsidRPr="00D370AE">
              <w:rPr>
                <w:rFonts w:ascii="National 2" w:hAnsi="National 2" w:cs="Gibson-Light"/>
                <w:sz w:val="18"/>
                <w:szCs w:val="18"/>
              </w:rPr>
              <w:t xml:space="preserve">, </w:t>
            </w:r>
            <w:r w:rsidR="00BB1FBE" w:rsidRPr="00D370AE">
              <w:rPr>
                <w:rFonts w:ascii="National 2" w:hAnsi="National 2" w:cs="Gibson-Light"/>
                <w:sz w:val="18"/>
                <w:szCs w:val="18"/>
              </w:rPr>
              <w:t>particularly</w:t>
            </w:r>
            <w:r w:rsidR="00023278" w:rsidRPr="00D370AE">
              <w:rPr>
                <w:rFonts w:ascii="National 2" w:hAnsi="National 2" w:cs="Gibson-Light"/>
                <w:sz w:val="18"/>
                <w:szCs w:val="18"/>
              </w:rPr>
              <w:t xml:space="preserve"> in sectors such as manufacturing, wholesale trade</w:t>
            </w:r>
            <w:r w:rsidR="00BB1FBE" w:rsidRPr="00D370AE">
              <w:rPr>
                <w:rFonts w:ascii="National 2" w:hAnsi="National 2" w:cs="Gibson-Light"/>
                <w:sz w:val="18"/>
                <w:szCs w:val="18"/>
              </w:rPr>
              <w:t xml:space="preserve"> and transport, postal &amp; warehousing</w:t>
            </w:r>
            <w:r w:rsidR="009355F6" w:rsidRPr="00D370AE">
              <w:rPr>
                <w:rFonts w:ascii="National 2" w:hAnsi="National 2" w:cs="Gibson-Light"/>
                <w:sz w:val="18"/>
                <w:szCs w:val="18"/>
              </w:rPr>
              <w:t>, sectors that have seen little or no growth elsewhere in the region</w:t>
            </w:r>
            <w:r w:rsidR="00BB1FBE" w:rsidRPr="00D370AE">
              <w:rPr>
                <w:rFonts w:ascii="National 2" w:hAnsi="National 2" w:cs="Gibson-Light"/>
                <w:sz w:val="18"/>
                <w:szCs w:val="18"/>
              </w:rPr>
              <w:t>.</w:t>
            </w:r>
          </w:p>
          <w:p w14:paraId="781A3FBF" w14:textId="3A7A2126" w:rsidR="002D2D9C" w:rsidRDefault="00D64F02" w:rsidP="00397BA7">
            <w:pPr>
              <w:autoSpaceDE w:val="0"/>
              <w:autoSpaceDN w:val="0"/>
              <w:adjustRightInd w:val="0"/>
              <w:spacing w:before="120" w:after="120"/>
              <w:rPr>
                <w:rFonts w:ascii="National 2" w:hAnsi="National 2" w:cs="Gibson-Light"/>
                <w:sz w:val="18"/>
                <w:szCs w:val="18"/>
                <w:highlight w:val="yellow"/>
              </w:rPr>
            </w:pPr>
            <w:r w:rsidRPr="00452565">
              <w:rPr>
                <w:rFonts w:ascii="National 2" w:hAnsi="National 2" w:cs="Gibson-Light"/>
                <w:sz w:val="18"/>
                <w:szCs w:val="18"/>
              </w:rPr>
              <w:t>S</w:t>
            </w:r>
            <w:r w:rsidR="00AA76BA" w:rsidRPr="00452565">
              <w:rPr>
                <w:rFonts w:ascii="National 2" w:hAnsi="National 2" w:cs="Gibson-Light"/>
                <w:sz w:val="18"/>
                <w:szCs w:val="18"/>
              </w:rPr>
              <w:t xml:space="preserve">maller, predominantly older areas </w:t>
            </w:r>
            <w:r w:rsidR="00452565" w:rsidRPr="00452565">
              <w:rPr>
                <w:rFonts w:ascii="National 2" w:hAnsi="National 2" w:cs="Gibson-Light"/>
                <w:sz w:val="18"/>
                <w:szCs w:val="18"/>
              </w:rPr>
              <w:t>like</w:t>
            </w:r>
            <w:r w:rsidR="00AA76BA" w:rsidRPr="00452565">
              <w:rPr>
                <w:rFonts w:ascii="National 2" w:hAnsi="National 2" w:cs="Gibson-Light"/>
                <w:sz w:val="18"/>
                <w:szCs w:val="18"/>
              </w:rPr>
              <w:t xml:space="preserve"> </w:t>
            </w:r>
            <w:r w:rsidR="000D69A0" w:rsidRPr="00452565">
              <w:rPr>
                <w:rFonts w:ascii="National 2" w:hAnsi="National 2" w:cs="Gibson-Light"/>
                <w:sz w:val="18"/>
                <w:szCs w:val="18"/>
              </w:rPr>
              <w:t>Onehunga-Te Papapa, Henderson, Avondale-New Lynn, Wairau Valley, Glen Innes-Panmure</w:t>
            </w:r>
            <w:r w:rsidRPr="00452565">
              <w:rPr>
                <w:rFonts w:ascii="National 2" w:hAnsi="National 2" w:cs="Gibson-Light"/>
                <w:sz w:val="18"/>
                <w:szCs w:val="18"/>
              </w:rPr>
              <w:t>, Rosebank</w:t>
            </w:r>
            <w:r w:rsidR="000D69A0" w:rsidRPr="00452565">
              <w:rPr>
                <w:rFonts w:ascii="National 2" w:hAnsi="National 2" w:cs="Gibson-Light"/>
                <w:sz w:val="18"/>
                <w:szCs w:val="18"/>
              </w:rPr>
              <w:t xml:space="preserve"> and </w:t>
            </w:r>
            <w:r w:rsidR="00123B9B" w:rsidRPr="00452565">
              <w:rPr>
                <w:rFonts w:ascii="National 2" w:hAnsi="National 2" w:cs="Gibson-Light"/>
                <w:sz w:val="18"/>
                <w:szCs w:val="18"/>
              </w:rPr>
              <w:t>Ōtāhuhu</w:t>
            </w:r>
            <w:r w:rsidR="008B1ABC" w:rsidRPr="00452565">
              <w:rPr>
                <w:rFonts w:ascii="National 2" w:hAnsi="National 2" w:cs="Gibson-Light"/>
                <w:sz w:val="18"/>
                <w:szCs w:val="18"/>
              </w:rPr>
              <w:t xml:space="preserve"> </w:t>
            </w:r>
            <w:r w:rsidRPr="00452565">
              <w:rPr>
                <w:rFonts w:ascii="National 2" w:hAnsi="National 2" w:cs="Gibson-Light"/>
                <w:sz w:val="18"/>
                <w:szCs w:val="18"/>
              </w:rPr>
              <w:t xml:space="preserve">have seen </w:t>
            </w:r>
            <w:r w:rsidR="008B1ABC" w:rsidRPr="00452565">
              <w:rPr>
                <w:rFonts w:ascii="National 2" w:hAnsi="National 2" w:cs="Gibson-Light"/>
                <w:sz w:val="18"/>
                <w:szCs w:val="18"/>
              </w:rPr>
              <w:t>little or no employment growth</w:t>
            </w:r>
            <w:r w:rsidR="000D69A0" w:rsidRPr="00452565">
              <w:rPr>
                <w:rFonts w:ascii="National 2" w:hAnsi="National 2" w:cs="Gibson-Light"/>
                <w:sz w:val="18"/>
                <w:szCs w:val="18"/>
              </w:rPr>
              <w:t>.</w:t>
            </w:r>
            <w:r w:rsidR="00397BA7" w:rsidRPr="00452565">
              <w:rPr>
                <w:rFonts w:ascii="National 2" w:hAnsi="National 2" w:cs="Gibson-Light"/>
                <w:sz w:val="18"/>
                <w:szCs w:val="18"/>
              </w:rPr>
              <w:t xml:space="preserve">  This suggests a link between </w:t>
            </w:r>
            <w:r w:rsidR="00452565" w:rsidRPr="00452565">
              <w:rPr>
                <w:rFonts w:ascii="National 2" w:hAnsi="National 2" w:cs="Gibson-Light"/>
                <w:sz w:val="18"/>
                <w:szCs w:val="18"/>
              </w:rPr>
              <w:t xml:space="preserve">physical </w:t>
            </w:r>
            <w:r w:rsidR="00397BA7" w:rsidRPr="00452565">
              <w:rPr>
                <w:rFonts w:ascii="National 2" w:hAnsi="National 2" w:cs="Gibson-Light"/>
                <w:sz w:val="18"/>
                <w:szCs w:val="18"/>
              </w:rPr>
              <w:t>capacity and growth</w:t>
            </w:r>
            <w:r w:rsidR="00452565" w:rsidRPr="00452565">
              <w:rPr>
                <w:rFonts w:ascii="National 2" w:hAnsi="National 2" w:cs="Gibson-Light"/>
                <w:sz w:val="18"/>
                <w:szCs w:val="18"/>
              </w:rPr>
              <w:t>,</w:t>
            </w:r>
            <w:r w:rsidR="00397BA7" w:rsidRPr="00452565">
              <w:rPr>
                <w:rFonts w:ascii="National 2" w:hAnsi="National 2" w:cs="Gibson-Light"/>
                <w:sz w:val="18"/>
                <w:szCs w:val="18"/>
              </w:rPr>
              <w:t xml:space="preserve"> </w:t>
            </w:r>
            <w:r w:rsidR="00F0269B" w:rsidRPr="00452565">
              <w:rPr>
                <w:rFonts w:ascii="National 2" w:hAnsi="National 2" w:cs="Gibson-Light"/>
                <w:sz w:val="18"/>
                <w:szCs w:val="18"/>
              </w:rPr>
              <w:t xml:space="preserve">with areas constrained by size and </w:t>
            </w:r>
            <w:r w:rsidR="009A28E6" w:rsidRPr="00452565">
              <w:rPr>
                <w:rFonts w:ascii="National 2" w:hAnsi="National 2" w:cs="Gibson-Light"/>
                <w:sz w:val="18"/>
                <w:szCs w:val="18"/>
              </w:rPr>
              <w:t xml:space="preserve">limited </w:t>
            </w:r>
            <w:r w:rsidR="00F0269B" w:rsidRPr="00452565">
              <w:rPr>
                <w:rFonts w:ascii="National 2" w:hAnsi="National 2" w:cs="Gibson-Light"/>
                <w:sz w:val="18"/>
                <w:szCs w:val="18"/>
              </w:rPr>
              <w:t xml:space="preserve">available </w:t>
            </w:r>
            <w:r w:rsidR="009A28E6" w:rsidRPr="00452565">
              <w:rPr>
                <w:rFonts w:ascii="National 2" w:hAnsi="National 2" w:cs="Gibson-Light"/>
                <w:sz w:val="18"/>
                <w:szCs w:val="18"/>
              </w:rPr>
              <w:t xml:space="preserve">development potential unable to attract </w:t>
            </w:r>
            <w:r w:rsidR="00A97CB4" w:rsidRPr="00452565">
              <w:rPr>
                <w:rFonts w:ascii="National 2" w:hAnsi="National 2" w:cs="Gibson-Light"/>
                <w:sz w:val="18"/>
                <w:szCs w:val="18"/>
              </w:rPr>
              <w:t>a share of the growing economy, potentially limiting the region’s overall potential.</w:t>
            </w:r>
          </w:p>
          <w:p w14:paraId="220C8D9B" w14:textId="3F9DD55A" w:rsidR="00D01141" w:rsidRPr="00D40735" w:rsidRDefault="00D01141" w:rsidP="00D01141">
            <w:pPr>
              <w:spacing w:after="120"/>
              <w:rPr>
                <w:rFonts w:ascii="National 2" w:hAnsi="National 2"/>
                <w:sz w:val="18"/>
                <w:szCs w:val="18"/>
              </w:rPr>
            </w:pPr>
            <w:r w:rsidRPr="00D40735">
              <w:rPr>
                <w:rFonts w:ascii="National 2" w:hAnsi="National 2"/>
                <w:sz w:val="18"/>
                <w:szCs w:val="18"/>
              </w:rPr>
              <w:t>A transition away from traditional industrial uses in some of these low growth areas is well underway as they begin to serve a different role in the regional economy</w:t>
            </w:r>
            <w:r w:rsidR="00B72519" w:rsidRPr="00D40735">
              <w:rPr>
                <w:rFonts w:ascii="National 2" w:hAnsi="National 2"/>
                <w:sz w:val="18"/>
                <w:szCs w:val="18"/>
              </w:rPr>
              <w:t>,</w:t>
            </w:r>
            <w:r w:rsidRPr="00D40735">
              <w:rPr>
                <w:rFonts w:ascii="National 2" w:hAnsi="National 2"/>
                <w:sz w:val="18"/>
                <w:szCs w:val="18"/>
              </w:rPr>
              <w:t xml:space="preserve"> with </w:t>
            </w:r>
            <w:r w:rsidR="00601497" w:rsidRPr="00D40735">
              <w:rPr>
                <w:rFonts w:ascii="National 2" w:hAnsi="National 2"/>
                <w:sz w:val="18"/>
                <w:szCs w:val="18"/>
              </w:rPr>
              <w:t xml:space="preserve">large format </w:t>
            </w:r>
            <w:r w:rsidRPr="00D40735">
              <w:rPr>
                <w:rFonts w:ascii="National 2" w:hAnsi="National 2"/>
                <w:sz w:val="18"/>
                <w:szCs w:val="18"/>
              </w:rPr>
              <w:t xml:space="preserve">retail and administrative type office uses replacing industrial uses in some areas. </w:t>
            </w:r>
          </w:p>
          <w:p w14:paraId="79ED38BD" w14:textId="485C04DB" w:rsidR="00D01141" w:rsidRPr="00397BA7" w:rsidRDefault="00D01141" w:rsidP="00D01141">
            <w:pPr>
              <w:autoSpaceDE w:val="0"/>
              <w:autoSpaceDN w:val="0"/>
              <w:adjustRightInd w:val="0"/>
              <w:spacing w:before="120" w:after="120"/>
              <w:rPr>
                <w:rFonts w:ascii="National 2" w:hAnsi="National 2" w:cs="Gibson-Light"/>
                <w:sz w:val="18"/>
                <w:szCs w:val="18"/>
                <w:highlight w:val="yellow"/>
              </w:rPr>
            </w:pPr>
            <w:r w:rsidRPr="00D40735">
              <w:rPr>
                <w:rFonts w:ascii="National 2" w:hAnsi="National 2"/>
                <w:sz w:val="18"/>
                <w:szCs w:val="18"/>
              </w:rPr>
              <w:t>As a result, for some industries, particularly those that need to be in light industrial zones with available prime grade premises, locational choice has become very limited</w:t>
            </w:r>
            <w:r w:rsidR="00601497" w:rsidRPr="00D40735">
              <w:rPr>
                <w:rFonts w:ascii="National 2" w:hAnsi="National 2"/>
                <w:sz w:val="18"/>
                <w:szCs w:val="18"/>
              </w:rPr>
              <w:t xml:space="preserve"> as other uses</w:t>
            </w:r>
            <w:r w:rsidR="00D40735" w:rsidRPr="00D40735">
              <w:rPr>
                <w:rFonts w:ascii="National 2" w:hAnsi="National 2"/>
                <w:sz w:val="18"/>
                <w:szCs w:val="18"/>
              </w:rPr>
              <w:t xml:space="preserve"> compete for sites</w:t>
            </w:r>
            <w:r w:rsidRPr="00D40735">
              <w:rPr>
                <w:rFonts w:ascii="National 2" w:hAnsi="National 2"/>
                <w:sz w:val="18"/>
                <w:szCs w:val="18"/>
              </w:rPr>
              <w:t>.</w:t>
            </w:r>
          </w:p>
        </w:tc>
        <w:tc>
          <w:tcPr>
            <w:tcW w:w="7193" w:type="dxa"/>
            <w:tcBorders>
              <w:top w:val="nil"/>
              <w:left w:val="nil"/>
              <w:bottom w:val="nil"/>
              <w:right w:val="nil"/>
            </w:tcBorders>
          </w:tcPr>
          <w:p w14:paraId="5174223B" w14:textId="77777777" w:rsidR="0079515D" w:rsidRPr="00683C0F" w:rsidRDefault="0079515D" w:rsidP="00C744E4">
            <w:pPr>
              <w:spacing w:after="60"/>
              <w:rPr>
                <w:rFonts w:ascii="National 2" w:hAnsi="National 2"/>
                <w:b/>
                <w:bCs/>
                <w:color w:val="1B324F"/>
                <w:sz w:val="24"/>
                <w:szCs w:val="24"/>
              </w:rPr>
            </w:pPr>
            <w:r w:rsidRPr="00683C0F">
              <w:rPr>
                <w:rFonts w:ascii="National 2" w:hAnsi="National 2"/>
                <w:b/>
                <w:bCs/>
                <w:color w:val="1B324F"/>
                <w:sz w:val="24"/>
                <w:szCs w:val="24"/>
              </w:rPr>
              <w:t>Commercial Property Assessment</w:t>
            </w:r>
          </w:p>
          <w:p w14:paraId="6F52099F" w14:textId="1CA0FA02" w:rsidR="00F86B96" w:rsidRPr="00283209" w:rsidRDefault="0079515D" w:rsidP="00EC7054">
            <w:pPr>
              <w:spacing w:before="120" w:after="120"/>
              <w:rPr>
                <w:rFonts w:ascii="National 2" w:hAnsi="National 2"/>
                <w:sz w:val="18"/>
                <w:szCs w:val="18"/>
              </w:rPr>
            </w:pPr>
            <w:r w:rsidRPr="00283209">
              <w:rPr>
                <w:rFonts w:ascii="National 2" w:hAnsi="National 2"/>
                <w:sz w:val="18"/>
                <w:szCs w:val="18"/>
              </w:rPr>
              <w:t>Commercial property market intelligence provided by Colliers</w:t>
            </w:r>
            <w:r w:rsidR="00F86B96">
              <w:rPr>
                <w:rStyle w:val="EndnoteReference"/>
                <w:rFonts w:ascii="National 2" w:hAnsi="National 2"/>
                <w:sz w:val="18"/>
                <w:szCs w:val="18"/>
              </w:rPr>
              <w:endnoteReference w:id="1"/>
            </w:r>
            <w:r w:rsidR="00F86B96" w:rsidRPr="0068376E">
              <w:rPr>
                <w:rFonts w:ascii="National 2" w:hAnsi="National 2"/>
                <w:sz w:val="18"/>
                <w:szCs w:val="18"/>
                <w:vertAlign w:val="superscript"/>
              </w:rPr>
              <w:t>,</w:t>
            </w:r>
            <w:r w:rsidR="00F86B96">
              <w:rPr>
                <w:rStyle w:val="EndnoteReference"/>
                <w:rFonts w:ascii="National 2" w:hAnsi="National 2"/>
                <w:sz w:val="18"/>
                <w:szCs w:val="18"/>
              </w:rPr>
              <w:endnoteReference w:id="2"/>
            </w:r>
            <w:r w:rsidR="00F86B96">
              <w:rPr>
                <w:rFonts w:ascii="National 2" w:hAnsi="National 2"/>
                <w:sz w:val="18"/>
                <w:szCs w:val="18"/>
                <w:vertAlign w:val="superscript"/>
              </w:rPr>
              <w:t>,</w:t>
            </w:r>
            <w:r w:rsidR="00F86B96">
              <w:rPr>
                <w:rStyle w:val="EndnoteReference"/>
                <w:rFonts w:ascii="National 2" w:hAnsi="National 2"/>
                <w:sz w:val="18"/>
                <w:szCs w:val="18"/>
              </w:rPr>
              <w:endnoteReference w:id="3"/>
            </w:r>
            <w:r w:rsidR="00F86B96" w:rsidRPr="00283209">
              <w:rPr>
                <w:rFonts w:ascii="National 2" w:hAnsi="National 2"/>
                <w:sz w:val="18"/>
                <w:szCs w:val="18"/>
              </w:rPr>
              <w:t xml:space="preserve"> provides an overview of demand</w:t>
            </w:r>
            <w:r w:rsidR="00F86B96">
              <w:rPr>
                <w:rFonts w:ascii="National 2" w:hAnsi="National 2"/>
                <w:sz w:val="18"/>
                <w:szCs w:val="18"/>
              </w:rPr>
              <w:t xml:space="preserve"> for,</w:t>
            </w:r>
            <w:r w:rsidR="00F86B96" w:rsidRPr="00283209">
              <w:rPr>
                <w:rFonts w:ascii="National 2" w:hAnsi="National 2"/>
                <w:sz w:val="18"/>
                <w:szCs w:val="18"/>
              </w:rPr>
              <w:t xml:space="preserve"> and cost of</w:t>
            </w:r>
            <w:r w:rsidR="00F86B96">
              <w:rPr>
                <w:rFonts w:ascii="National 2" w:hAnsi="National 2"/>
                <w:sz w:val="18"/>
                <w:szCs w:val="18"/>
              </w:rPr>
              <w:t>,</w:t>
            </w:r>
            <w:r w:rsidR="00F86B96" w:rsidRPr="00283209">
              <w:rPr>
                <w:rFonts w:ascii="National 2" w:hAnsi="National 2"/>
                <w:sz w:val="18"/>
                <w:szCs w:val="18"/>
              </w:rPr>
              <w:t xml:space="preserve"> commercial premises across a number of industrial, office and retail centres in the Auckland Region. While these areas are not mapped to the Auckland Plan’s key economic areas, they provide a useful insight into some of the drivers of industrial location change in the region.</w:t>
            </w:r>
          </w:p>
          <w:p w14:paraId="7FB8122E" w14:textId="2D0722E4" w:rsidR="00F86B96" w:rsidRDefault="00F86B96" w:rsidP="00C7114D">
            <w:pPr>
              <w:spacing w:before="120" w:after="120"/>
              <w:rPr>
                <w:rFonts w:ascii="National 2" w:hAnsi="National 2"/>
                <w:sz w:val="18"/>
                <w:szCs w:val="18"/>
              </w:rPr>
            </w:pPr>
            <w:r w:rsidRPr="006D611A">
              <w:rPr>
                <w:rFonts w:ascii="National 2" w:hAnsi="National 2"/>
                <w:sz w:val="18"/>
                <w:szCs w:val="18"/>
              </w:rPr>
              <w:t xml:space="preserve">While there has been a cooling of the economy, demand for </w:t>
            </w:r>
            <w:r w:rsidRPr="00840860">
              <w:rPr>
                <w:rFonts w:ascii="National 2" w:hAnsi="National 2"/>
                <w:b/>
                <w:bCs/>
                <w:color w:val="00A6A7"/>
                <w:sz w:val="18"/>
                <w:szCs w:val="18"/>
              </w:rPr>
              <w:t>industrial premises</w:t>
            </w:r>
            <w:r w:rsidRPr="00840860">
              <w:rPr>
                <w:rFonts w:ascii="National 2" w:hAnsi="National 2"/>
                <w:color w:val="00A6A7"/>
                <w:sz w:val="18"/>
                <w:szCs w:val="18"/>
              </w:rPr>
              <w:t xml:space="preserve"> </w:t>
            </w:r>
            <w:r w:rsidRPr="006D611A">
              <w:rPr>
                <w:rFonts w:ascii="National 2" w:hAnsi="National 2"/>
                <w:sz w:val="18"/>
                <w:szCs w:val="18"/>
              </w:rPr>
              <w:t>remains high, resulting in historically low vacancy rates. As of February, the overall vacancy rate stood at 1.7%. Vacancy rates have not exceeded 2.5% since late 2014. At the prime end of the quality spectrum there is a vacancy rate of just 0.5%.</w:t>
            </w:r>
            <w:r>
              <w:rPr>
                <w:rFonts w:ascii="National 2" w:hAnsi="National 2"/>
                <w:sz w:val="18"/>
                <w:szCs w:val="18"/>
              </w:rPr>
              <w:t xml:space="preserve"> Prime grade premises in some industrial precincts are fully occupied.</w:t>
            </w:r>
          </w:p>
          <w:p w14:paraId="776E4EB2" w14:textId="46452D0B" w:rsidR="00F86B96" w:rsidRPr="00283209" w:rsidRDefault="00F86B96" w:rsidP="00C7114D">
            <w:pPr>
              <w:spacing w:before="120" w:after="120"/>
              <w:rPr>
                <w:rFonts w:ascii="National 2" w:hAnsi="National 2"/>
                <w:sz w:val="18"/>
                <w:szCs w:val="18"/>
              </w:rPr>
            </w:pPr>
            <w:r w:rsidRPr="00283209">
              <w:rPr>
                <w:rFonts w:ascii="National 2" w:hAnsi="National 2"/>
                <w:sz w:val="18"/>
                <w:szCs w:val="18"/>
              </w:rPr>
              <w:t>Most established industrial precincts have limited scope for further development while construction costs, the current economic climate and high interest rates are barriers to redevelopment of existing stock. As a result</w:t>
            </w:r>
            <w:r>
              <w:rPr>
                <w:rFonts w:ascii="National 2" w:hAnsi="National 2"/>
                <w:sz w:val="18"/>
                <w:szCs w:val="18"/>
              </w:rPr>
              <w:t xml:space="preserve">, </w:t>
            </w:r>
            <w:r w:rsidRPr="00283209">
              <w:rPr>
                <w:rFonts w:ascii="National 2" w:hAnsi="National 2"/>
                <w:sz w:val="18"/>
                <w:szCs w:val="18"/>
              </w:rPr>
              <w:t>rental values are at historic highs.</w:t>
            </w:r>
          </w:p>
          <w:p w14:paraId="60EE26A4" w14:textId="77777777" w:rsidR="00F86B96" w:rsidRDefault="00F86B96" w:rsidP="00F77620">
            <w:pPr>
              <w:spacing w:before="120" w:after="120"/>
              <w:rPr>
                <w:rFonts w:ascii="National 2" w:hAnsi="National 2"/>
                <w:sz w:val="18"/>
                <w:szCs w:val="18"/>
              </w:rPr>
            </w:pPr>
            <w:r>
              <w:rPr>
                <w:rFonts w:ascii="National 2" w:hAnsi="National 2"/>
                <w:sz w:val="18"/>
                <w:szCs w:val="18"/>
              </w:rPr>
              <w:t>Businesses looking to expand may look to relocate either within the region or out of the region to find large industrial sites.  Northgate (100 Ha) and Ruakura (490 Ha) industrial parks outside Hamilton are positioned to capitalise on land availability, large lots, improved roading and inland port facilities to attract occupiers.</w:t>
            </w:r>
            <w:r w:rsidRPr="00283209">
              <w:rPr>
                <w:rFonts w:ascii="National 2" w:hAnsi="National 2"/>
                <w:sz w:val="18"/>
                <w:szCs w:val="18"/>
              </w:rPr>
              <w:t xml:space="preserve"> </w:t>
            </w:r>
          </w:p>
          <w:p w14:paraId="769454A9" w14:textId="516CBD67" w:rsidR="00F86B96" w:rsidRDefault="00F86B96" w:rsidP="00F77620">
            <w:pPr>
              <w:spacing w:before="120" w:after="120"/>
              <w:rPr>
                <w:rFonts w:ascii="National 2" w:hAnsi="National 2"/>
                <w:sz w:val="18"/>
                <w:szCs w:val="18"/>
              </w:rPr>
            </w:pPr>
            <w:r w:rsidRPr="00283209">
              <w:rPr>
                <w:rFonts w:ascii="National 2" w:hAnsi="National 2"/>
                <w:sz w:val="18"/>
                <w:szCs w:val="18"/>
              </w:rPr>
              <w:t xml:space="preserve">While </w:t>
            </w:r>
            <w:r w:rsidRPr="00840860">
              <w:rPr>
                <w:rFonts w:ascii="National 2" w:hAnsi="National 2"/>
                <w:b/>
                <w:bCs/>
                <w:color w:val="00A6A7"/>
                <w:sz w:val="18"/>
                <w:szCs w:val="18"/>
              </w:rPr>
              <w:t>office space</w:t>
            </w:r>
            <w:r w:rsidRPr="00283209">
              <w:rPr>
                <w:rFonts w:ascii="National 2" w:hAnsi="National 2"/>
                <w:sz w:val="18"/>
                <w:szCs w:val="18"/>
              </w:rPr>
              <w:t xml:space="preserve"> is generally more readily available with vacancy rates higher, prime grade office space can be in high demand relative to secondary grade space</w:t>
            </w:r>
            <w:r>
              <w:rPr>
                <w:rFonts w:ascii="National 2" w:hAnsi="National 2"/>
                <w:sz w:val="18"/>
                <w:szCs w:val="18"/>
              </w:rPr>
              <w:t>, Green Star rated offices are also in high demand.</w:t>
            </w:r>
          </w:p>
          <w:p w14:paraId="7BBD00E5" w14:textId="44018805" w:rsidR="00F86B96" w:rsidRDefault="00F86B96" w:rsidP="00162D52">
            <w:pPr>
              <w:spacing w:before="120" w:after="120"/>
              <w:rPr>
                <w:rFonts w:ascii="National 2" w:hAnsi="National 2"/>
                <w:sz w:val="18"/>
                <w:szCs w:val="18"/>
              </w:rPr>
            </w:pPr>
            <w:r w:rsidRPr="00A42B37">
              <w:rPr>
                <w:rFonts w:ascii="National 2" w:hAnsi="National 2"/>
                <w:b/>
                <w:bCs/>
                <w:color w:val="00A6A7"/>
                <w:sz w:val="18"/>
                <w:szCs w:val="18"/>
              </w:rPr>
              <w:t>Retail space</w:t>
            </w:r>
            <w:r w:rsidRPr="00283209">
              <w:rPr>
                <w:rFonts w:ascii="National 2" w:hAnsi="National 2"/>
                <w:sz w:val="18"/>
                <w:szCs w:val="18"/>
              </w:rPr>
              <w:t xml:space="preserve"> has been more heavily impacted by COVID-19 with rentals falling in many retail centres as vacancies rose due to the pandemic. On the whole, high-street retailing has performed less well than shopping mall developments.</w:t>
            </w:r>
            <w:r>
              <w:rPr>
                <w:rFonts w:ascii="National 2" w:hAnsi="National 2"/>
                <w:sz w:val="18"/>
                <w:szCs w:val="18"/>
              </w:rPr>
              <w:t xml:space="preserve"> Consents issuance is at a low.  </w:t>
            </w:r>
            <w:r w:rsidRPr="00E46E5B">
              <w:rPr>
                <w:rFonts w:ascii="National 2" w:hAnsi="National 2"/>
                <w:sz w:val="18"/>
                <w:szCs w:val="18"/>
              </w:rPr>
              <w:t xml:space="preserve">Projects currently under construction are predominantly focused on bulk retail and specialist retailing centres such as the Auckland International Airport's </w:t>
            </w:r>
            <w:proofErr w:type="spellStart"/>
            <w:r w:rsidRPr="00E46E5B">
              <w:rPr>
                <w:rFonts w:ascii="National 2" w:hAnsi="National 2"/>
                <w:sz w:val="18"/>
                <w:szCs w:val="18"/>
              </w:rPr>
              <w:t>Mānawa</w:t>
            </w:r>
            <w:proofErr w:type="spellEnd"/>
            <w:r w:rsidRPr="00E46E5B">
              <w:rPr>
                <w:rFonts w:ascii="National 2" w:hAnsi="National 2"/>
                <w:sz w:val="18"/>
                <w:szCs w:val="18"/>
              </w:rPr>
              <w:t xml:space="preserve"> Bay outlet shopping centre.</w:t>
            </w:r>
          </w:p>
          <w:p w14:paraId="0FBCD663" w14:textId="316EE2E9" w:rsidR="00F86B96" w:rsidRDefault="00F86B96" w:rsidP="00D01141">
            <w:pPr>
              <w:spacing w:after="60"/>
              <w:rPr>
                <w:rFonts w:ascii="National 2" w:hAnsi="National 2"/>
                <w:sz w:val="18"/>
                <w:szCs w:val="18"/>
              </w:rPr>
            </w:pPr>
            <w:r w:rsidRPr="00A568FB">
              <w:rPr>
                <w:rFonts w:ascii="National 2" w:hAnsi="National 2"/>
                <w:b/>
                <w:bCs/>
                <w:color w:val="1B324F"/>
                <w:sz w:val="24"/>
                <w:szCs w:val="24"/>
              </w:rPr>
              <w:t>Commuting</w:t>
            </w:r>
            <w:r>
              <w:rPr>
                <w:rFonts w:ascii="National 2" w:hAnsi="National 2"/>
                <w:b/>
                <w:bCs/>
                <w:color w:val="1B324F"/>
                <w:sz w:val="24"/>
                <w:szCs w:val="24"/>
              </w:rPr>
              <w:t xml:space="preserve"> and </w:t>
            </w:r>
            <w:r w:rsidRPr="00F009B5">
              <w:rPr>
                <w:rFonts w:ascii="National 2" w:hAnsi="National 2"/>
                <w:b/>
                <w:bCs/>
                <w:color w:val="1B324F"/>
                <w:sz w:val="24"/>
                <w:szCs w:val="24"/>
              </w:rPr>
              <w:t>Public Transit</w:t>
            </w:r>
          </w:p>
          <w:p w14:paraId="16C5206F" w14:textId="77777777" w:rsidR="00F86B96" w:rsidRPr="00B839CE" w:rsidRDefault="00F86B96" w:rsidP="00D01141">
            <w:pPr>
              <w:spacing w:after="120"/>
              <w:rPr>
                <w:rFonts w:ascii="National 2" w:hAnsi="National 2"/>
                <w:sz w:val="18"/>
                <w:szCs w:val="18"/>
              </w:rPr>
            </w:pPr>
            <w:r w:rsidRPr="00B839CE">
              <w:rPr>
                <w:rFonts w:ascii="National 2" w:hAnsi="National 2"/>
                <w:sz w:val="18"/>
                <w:szCs w:val="18"/>
              </w:rPr>
              <w:t xml:space="preserve">Auckland Transport Emissions Reduction Pathway (TERP) aims to reduce transport emissions by 64% by 2030. The TERP notes the more limited transport options available to some groups, often those in areas of high socio-economic deprivation. A goal of the </w:t>
            </w:r>
            <w:r w:rsidRPr="00346BCC">
              <w:rPr>
                <w:rFonts w:ascii="National 2" w:hAnsi="National 2"/>
                <w:sz w:val="18"/>
                <w:szCs w:val="18"/>
              </w:rPr>
              <w:t xml:space="preserve">TERP </w:t>
            </w:r>
            <w:r w:rsidRPr="00B839CE">
              <w:rPr>
                <w:rFonts w:ascii="National 2" w:hAnsi="National 2"/>
                <w:sz w:val="18"/>
                <w:szCs w:val="18"/>
              </w:rPr>
              <w:t>is to reduce the need for vehicle ownership by better and more frequent public transport serving the destinations these lower income groups tend to travel to, such as industrial workplaces and/or night shift work.</w:t>
            </w:r>
          </w:p>
          <w:p w14:paraId="7999C3D7" w14:textId="6C460FEA" w:rsidR="00F86B96" w:rsidRDefault="00F86B96" w:rsidP="00D01141">
            <w:pPr>
              <w:spacing w:after="120"/>
              <w:rPr>
                <w:rFonts w:ascii="National 2" w:hAnsi="National 2"/>
                <w:sz w:val="18"/>
                <w:szCs w:val="18"/>
              </w:rPr>
            </w:pPr>
            <w:r w:rsidRPr="00B839CE">
              <w:rPr>
                <w:rFonts w:ascii="National 2" w:hAnsi="National 2"/>
                <w:sz w:val="18"/>
                <w:szCs w:val="18"/>
              </w:rPr>
              <w:t xml:space="preserve">As at the </w:t>
            </w:r>
            <w:r w:rsidRPr="00346BCC">
              <w:rPr>
                <w:rFonts w:ascii="National 2" w:hAnsi="National 2"/>
                <w:color w:val="00A6A7"/>
                <w:sz w:val="18"/>
                <w:szCs w:val="18"/>
              </w:rPr>
              <w:t>2018 Census</w:t>
            </w:r>
            <w:r w:rsidRPr="00B839CE">
              <w:rPr>
                <w:rFonts w:ascii="National 2" w:hAnsi="National 2"/>
                <w:sz w:val="18"/>
                <w:szCs w:val="18"/>
              </w:rPr>
              <w:t>, most journeys to work (7</w:t>
            </w:r>
            <w:r w:rsidR="00346BCC">
              <w:rPr>
                <w:rFonts w:ascii="National 2" w:hAnsi="National 2"/>
                <w:sz w:val="18"/>
                <w:szCs w:val="18"/>
              </w:rPr>
              <w:t>3</w:t>
            </w:r>
            <w:r w:rsidRPr="00B839CE">
              <w:rPr>
                <w:rFonts w:ascii="National 2" w:hAnsi="National 2"/>
                <w:sz w:val="18"/>
                <w:szCs w:val="18"/>
              </w:rPr>
              <w:t xml:space="preserve">%) are by private or company vehicle with 11% by bus, train or ferry. Five percent walk or cycle while </w:t>
            </w:r>
            <w:r w:rsidR="002D4667">
              <w:rPr>
                <w:rFonts w:ascii="National 2" w:hAnsi="National 2"/>
                <w:sz w:val="18"/>
                <w:szCs w:val="18"/>
              </w:rPr>
              <w:t>10</w:t>
            </w:r>
            <w:r w:rsidRPr="00B839CE">
              <w:rPr>
                <w:rFonts w:ascii="National 2" w:hAnsi="National 2"/>
                <w:sz w:val="18"/>
                <w:szCs w:val="18"/>
              </w:rPr>
              <w:t xml:space="preserve">% work at home.  </w:t>
            </w:r>
          </w:p>
          <w:p w14:paraId="67112FC2" w14:textId="1AEBF441" w:rsidR="00631962" w:rsidRPr="00B839CE" w:rsidRDefault="00631962" w:rsidP="00D01141">
            <w:pPr>
              <w:spacing w:after="120"/>
              <w:rPr>
                <w:rFonts w:ascii="National 2" w:hAnsi="National 2"/>
                <w:sz w:val="18"/>
                <w:szCs w:val="18"/>
              </w:rPr>
            </w:pPr>
            <w:r>
              <w:rPr>
                <w:noProof/>
                <w14:ligatures w14:val="standardContextual"/>
              </w:rPr>
              <w:drawing>
                <wp:inline distT="0" distB="0" distL="0" distR="0" wp14:anchorId="690627BE" wp14:editId="3EBF4AD0">
                  <wp:extent cx="4572000" cy="1352550"/>
                  <wp:effectExtent l="0" t="0" r="0" b="0"/>
                  <wp:docPr id="455517979" name="Chart 1">
                    <a:extLst xmlns:a="http://schemas.openxmlformats.org/drawingml/2006/main">
                      <a:ext uri="{FF2B5EF4-FFF2-40B4-BE49-F238E27FC236}">
                        <a16:creationId xmlns:a16="http://schemas.microsoft.com/office/drawing/2014/main" id="{061C7F4B-C5D5-0C1C-8E49-E6690156CE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A795BF8" w14:textId="631A0E0C" w:rsidR="00F86B96" w:rsidRPr="00B839CE" w:rsidRDefault="00F86B96" w:rsidP="00D01141">
            <w:pPr>
              <w:spacing w:after="120"/>
              <w:rPr>
                <w:rFonts w:ascii="National 2" w:hAnsi="National 2"/>
                <w:sz w:val="18"/>
                <w:szCs w:val="18"/>
              </w:rPr>
            </w:pPr>
            <w:r w:rsidRPr="00B839CE">
              <w:rPr>
                <w:rFonts w:ascii="National 2" w:hAnsi="National 2"/>
                <w:sz w:val="18"/>
                <w:szCs w:val="18"/>
              </w:rPr>
              <w:t>Auckland has a Rapid Transport Network that serves a number of (typically more central) employment precincts well, while many others are less well served as well as a strong northward service along the Northern Busway to Albany.</w:t>
            </w:r>
          </w:p>
          <w:p w14:paraId="7CCA2849" w14:textId="270C9C0C" w:rsidR="00F86B96" w:rsidRPr="00B839CE" w:rsidRDefault="00F86B96" w:rsidP="00D01141">
            <w:pPr>
              <w:spacing w:after="120"/>
              <w:rPr>
                <w:rFonts w:ascii="National 2" w:hAnsi="National 2"/>
                <w:sz w:val="18"/>
                <w:szCs w:val="18"/>
              </w:rPr>
            </w:pPr>
            <w:r w:rsidRPr="00B839CE">
              <w:rPr>
                <w:rFonts w:ascii="National 2" w:hAnsi="National 2"/>
                <w:sz w:val="18"/>
                <w:szCs w:val="18"/>
              </w:rPr>
              <w:t>This variability of the network produces large variations across the region with areas of central Auckland having 35-45% of arrivals to work by private vehicle and areas farther from the centre approaching 80% of arrivals by private vehicle.</w:t>
            </w:r>
          </w:p>
          <w:p w14:paraId="1598F76F" w14:textId="7718E10D" w:rsidR="00F86B96" w:rsidRPr="00840860" w:rsidRDefault="00F86B96" w:rsidP="00D01141">
            <w:pPr>
              <w:spacing w:before="120" w:after="120"/>
              <w:rPr>
                <w:rFonts w:ascii="National 2" w:hAnsi="National 2"/>
                <w:sz w:val="18"/>
                <w:szCs w:val="18"/>
              </w:rPr>
            </w:pPr>
            <w:r w:rsidRPr="00B839CE">
              <w:rPr>
                <w:rFonts w:ascii="National 2" w:hAnsi="National 2"/>
                <w:sz w:val="18"/>
                <w:szCs w:val="18"/>
              </w:rPr>
              <w:t>Improvements to the Northern Busway, near completion of the city rail link and further planned bus infrastructure should see improved access to the Rapid Transport Network.</w:t>
            </w:r>
            <w:r>
              <w:rPr>
                <w:rFonts w:ascii="National 2" w:hAnsi="National 2"/>
                <w:sz w:val="18"/>
                <w:szCs w:val="18"/>
              </w:rPr>
              <w:t xml:space="preserve"> </w:t>
            </w:r>
          </w:p>
        </w:tc>
        <w:tc>
          <w:tcPr>
            <w:tcW w:w="8647" w:type="dxa"/>
            <w:tcBorders>
              <w:top w:val="nil"/>
              <w:left w:val="nil"/>
              <w:bottom w:val="nil"/>
              <w:right w:val="nil"/>
            </w:tcBorders>
          </w:tcPr>
          <w:p w14:paraId="3C1D22CB" w14:textId="3AE4BCE7" w:rsidR="00F86B96" w:rsidRPr="00533F58" w:rsidRDefault="00F86B96" w:rsidP="007C3AB5">
            <w:pPr>
              <w:spacing w:after="60"/>
              <w:rPr>
                <w:rFonts w:ascii="National 2" w:hAnsi="National 2"/>
                <w:b/>
                <w:bCs/>
                <w:color w:val="1B324F"/>
                <w:sz w:val="24"/>
                <w:szCs w:val="24"/>
                <w:highlight w:val="yellow"/>
              </w:rPr>
            </w:pPr>
            <w:r w:rsidRPr="00812DFF">
              <w:rPr>
                <w:rFonts w:ascii="National 2" w:hAnsi="National 2"/>
                <w:b/>
                <w:bCs/>
                <w:color w:val="1B324F"/>
                <w:sz w:val="24"/>
                <w:szCs w:val="24"/>
              </w:rPr>
              <w:t>Future Growth</w:t>
            </w:r>
            <w:r w:rsidRPr="00533F58">
              <w:rPr>
                <w:rFonts w:ascii="National 2" w:hAnsi="National 2"/>
                <w:b/>
                <w:bCs/>
                <w:color w:val="1B324F"/>
                <w:sz w:val="24"/>
                <w:szCs w:val="24"/>
                <w:highlight w:val="yellow"/>
              </w:rPr>
              <w:t xml:space="preserve"> </w:t>
            </w:r>
          </w:p>
          <w:p w14:paraId="152A68FB" w14:textId="146AC511" w:rsidR="00F86B96" w:rsidRDefault="00F86B96" w:rsidP="00F00B29">
            <w:pPr>
              <w:spacing w:before="120" w:after="120"/>
              <w:rPr>
                <w:rFonts w:ascii="National 2" w:hAnsi="National 2"/>
                <w:sz w:val="18"/>
                <w:szCs w:val="18"/>
              </w:rPr>
            </w:pPr>
            <w:r w:rsidRPr="00164D56">
              <w:rPr>
                <w:rFonts w:ascii="National 2" w:hAnsi="National 2"/>
                <w:sz w:val="18"/>
                <w:szCs w:val="18"/>
              </w:rPr>
              <w:t xml:space="preserve">Auckland Council has </w:t>
            </w:r>
            <w:r>
              <w:rPr>
                <w:rFonts w:ascii="National 2" w:hAnsi="National 2"/>
                <w:sz w:val="18"/>
                <w:szCs w:val="18"/>
              </w:rPr>
              <w:t>is</w:t>
            </w:r>
            <w:r w:rsidRPr="00164D56">
              <w:rPr>
                <w:rFonts w:ascii="National 2" w:hAnsi="National 2"/>
                <w:sz w:val="18"/>
                <w:szCs w:val="18"/>
              </w:rPr>
              <w:t xml:space="preserve"> required to produce a Future Development Strategy (FDS).  The FDS has to show and where Auckland Council will provide sufficient development capacity to meet future growth needs over the</w:t>
            </w:r>
            <w:r w:rsidRPr="00F00B29">
              <w:rPr>
                <w:rFonts w:ascii="National 2" w:hAnsi="National 2"/>
                <w:sz w:val="18"/>
                <w:szCs w:val="18"/>
              </w:rPr>
              <w:t xml:space="preserve"> next 30 years</w:t>
            </w:r>
            <w:r>
              <w:rPr>
                <w:rFonts w:ascii="National 2" w:hAnsi="National 2"/>
                <w:sz w:val="18"/>
                <w:szCs w:val="18"/>
              </w:rPr>
              <w:t>.</w:t>
            </w:r>
          </w:p>
          <w:p w14:paraId="74D7B88C" w14:textId="6AE09E2D" w:rsidR="00F86B96" w:rsidRDefault="00F86B96" w:rsidP="00F00B29">
            <w:pPr>
              <w:spacing w:before="120" w:after="120"/>
              <w:rPr>
                <w:rFonts w:ascii="National 2" w:hAnsi="National 2"/>
                <w:sz w:val="18"/>
                <w:szCs w:val="18"/>
              </w:rPr>
            </w:pPr>
            <w:r>
              <w:rPr>
                <w:rFonts w:ascii="National 2" w:hAnsi="National 2"/>
                <w:sz w:val="18"/>
                <w:szCs w:val="18"/>
              </w:rPr>
              <w:t>The recently produced FDS has a focus on a compact approach to growth prioritising investment in a limited number of priority areas. It notes the important role a small number of employment areas play in providing much of the region’s employment and the need to protect those areas for employment uses, acknowledging parts of the region, particularly west and eastern areas, are under provided for in terms of access to employment.</w:t>
            </w:r>
          </w:p>
          <w:p w14:paraId="689AEA23" w14:textId="77777777" w:rsidR="00F86B96" w:rsidRDefault="00F86B96" w:rsidP="00550A38">
            <w:pPr>
              <w:spacing w:before="120" w:after="120"/>
              <w:rPr>
                <w:rFonts w:ascii="National 2" w:hAnsi="National 2"/>
                <w:sz w:val="18"/>
                <w:szCs w:val="18"/>
              </w:rPr>
            </w:pPr>
            <w:r w:rsidRPr="004D582D">
              <w:rPr>
                <w:rFonts w:ascii="National 2" w:hAnsi="National 2"/>
                <w:sz w:val="18"/>
                <w:szCs w:val="18"/>
              </w:rPr>
              <w:t>The FDS assumes the region will require 282,600 additional jobs over the next 30 years.  Even if there is an increase in employment density, it is still estimated an additional 1,400 Ha of employment land will be needed.</w:t>
            </w:r>
          </w:p>
          <w:p w14:paraId="5F2D78AC" w14:textId="1150A41D" w:rsidR="00F86B96" w:rsidRPr="00F00B29" w:rsidRDefault="00F86B96" w:rsidP="00F00B29">
            <w:pPr>
              <w:spacing w:before="120" w:after="120"/>
              <w:rPr>
                <w:rFonts w:ascii="National 2" w:hAnsi="National 2"/>
                <w:sz w:val="18"/>
                <w:szCs w:val="18"/>
              </w:rPr>
            </w:pPr>
            <w:r>
              <w:rPr>
                <w:rFonts w:ascii="National 2" w:hAnsi="National 2"/>
                <w:sz w:val="18"/>
                <w:szCs w:val="18"/>
              </w:rPr>
              <w:t>While the FDS notes employment land potential in future urban areas, the FDS has removed some, and proposed delayed release of some other, Future Urban Zoned land.  This means optimising use of existing employment land remains critical to the region’s ability to provide employment opportunities for its growing population.</w:t>
            </w:r>
          </w:p>
          <w:p w14:paraId="08393DE7" w14:textId="77777777" w:rsidR="00F86B96" w:rsidRPr="00174B63" w:rsidRDefault="00F86B96" w:rsidP="00642A2A">
            <w:pPr>
              <w:spacing w:after="120"/>
              <w:rPr>
                <w:rFonts w:ascii="National 2" w:hAnsi="National 2"/>
                <w:b/>
                <w:bCs/>
                <w:color w:val="1B324F"/>
                <w:sz w:val="24"/>
                <w:szCs w:val="24"/>
              </w:rPr>
            </w:pPr>
            <w:r w:rsidRPr="00174B63">
              <w:rPr>
                <w:rFonts w:ascii="National 2" w:hAnsi="National 2"/>
                <w:b/>
                <w:bCs/>
                <w:color w:val="1B324F"/>
                <w:sz w:val="24"/>
                <w:szCs w:val="24"/>
              </w:rPr>
              <w:t>Opportunities / Challenges</w:t>
            </w:r>
          </w:p>
          <w:p w14:paraId="66C31C52" w14:textId="20B9C618" w:rsidR="00F86B96" w:rsidRPr="00B839CE" w:rsidRDefault="00F86B96" w:rsidP="00E22BC4">
            <w:pPr>
              <w:autoSpaceDE w:val="0"/>
              <w:autoSpaceDN w:val="0"/>
              <w:adjustRightInd w:val="0"/>
              <w:spacing w:before="120" w:after="120"/>
              <w:rPr>
                <w:rFonts w:ascii="National 2" w:hAnsi="National 2" w:cs="Gibson-Light"/>
                <w:sz w:val="18"/>
                <w:szCs w:val="18"/>
              </w:rPr>
            </w:pPr>
            <w:r w:rsidRPr="00B839CE">
              <w:rPr>
                <w:rFonts w:ascii="National 2" w:hAnsi="National 2"/>
                <w:sz w:val="18"/>
                <w:szCs w:val="18"/>
              </w:rPr>
              <w:t>A successful economy supports improved productivity, prosperity, and wellbeing</w:t>
            </w:r>
            <w:r w:rsidRPr="00B839CE">
              <w:rPr>
                <w:rFonts w:ascii="National 2" w:hAnsi="National 2" w:cs="Gibson-Light"/>
                <w:sz w:val="18"/>
                <w:szCs w:val="18"/>
              </w:rPr>
              <w:t xml:space="preserve"> for its communities.  As the country’s only city of scale and the main centre for many high value-add industries, Auckland is also key to the development of the New Zealand economy</w:t>
            </w:r>
            <w:r w:rsidRPr="00B839CE">
              <w:rPr>
                <w:rFonts w:ascii="National 2" w:hAnsi="National 2" w:cs="National 2"/>
                <w:color w:val="000000"/>
                <w:sz w:val="18"/>
                <w:szCs w:val="18"/>
              </w:rPr>
              <w:t>.</w:t>
            </w:r>
          </w:p>
          <w:p w14:paraId="77B19294" w14:textId="500852D3" w:rsidR="00F86B96" w:rsidRPr="00B839CE" w:rsidRDefault="00F86B96" w:rsidP="00E22BC4">
            <w:pPr>
              <w:autoSpaceDE w:val="0"/>
              <w:autoSpaceDN w:val="0"/>
              <w:adjustRightInd w:val="0"/>
              <w:spacing w:before="120" w:after="120"/>
              <w:rPr>
                <w:rFonts w:ascii="National 2" w:hAnsi="National 2" w:cs="National 2"/>
                <w:color w:val="000000"/>
                <w:sz w:val="18"/>
                <w:szCs w:val="18"/>
              </w:rPr>
            </w:pPr>
            <w:r w:rsidRPr="00B839CE">
              <w:rPr>
                <w:rFonts w:ascii="National 2" w:hAnsi="National 2" w:cs="Gibson-Light"/>
                <w:sz w:val="18"/>
                <w:szCs w:val="18"/>
              </w:rPr>
              <w:t xml:space="preserve">While much of Auckland’s recent growth has been in sectors associated with population growth it is also the centre of NZ’s </w:t>
            </w:r>
            <w:r w:rsidRPr="00B839CE">
              <w:rPr>
                <w:rFonts w:ascii="National 2" w:hAnsi="National 2" w:cs="National 2"/>
                <w:color w:val="000000"/>
                <w:sz w:val="18"/>
                <w:szCs w:val="18"/>
              </w:rPr>
              <w:t>technology sector</w:t>
            </w:r>
            <w:r w:rsidRPr="00B839CE">
              <w:rPr>
                <w:rStyle w:val="EndnoteReference"/>
                <w:rFonts w:ascii="National 2" w:hAnsi="National 2" w:cs="National 2"/>
                <w:color w:val="000000"/>
                <w:sz w:val="18"/>
                <w:szCs w:val="18"/>
              </w:rPr>
              <w:endnoteReference w:id="4"/>
            </w:r>
            <w:r w:rsidRPr="00B839CE">
              <w:rPr>
                <w:rFonts w:ascii="National 2" w:hAnsi="National 2" w:cs="National 2"/>
                <w:color w:val="000000"/>
                <w:sz w:val="18"/>
                <w:szCs w:val="18"/>
              </w:rPr>
              <w:t>. The region was home to 112 of the country’s top 200 tech companies (TIN200) in 2022, and many of the largest growing manufacturers, software, and biotech companies. These tech exporters can help move the region’s economy towards fast growth, higher wages, and productivity.  N</w:t>
            </w:r>
            <w:r w:rsidRPr="00B839CE">
              <w:rPr>
                <w:rFonts w:ascii="National 2" w:hAnsi="National 2" w:cs="Gibson-Light"/>
                <w:sz w:val="18"/>
                <w:szCs w:val="18"/>
              </w:rPr>
              <w:t xml:space="preserve">ew sectors such as </w:t>
            </w:r>
            <w:proofErr w:type="spellStart"/>
            <w:r w:rsidRPr="00B839CE">
              <w:rPr>
                <w:rFonts w:ascii="National 2" w:hAnsi="National 2" w:cs="Gibson-Light"/>
                <w:sz w:val="18"/>
                <w:szCs w:val="18"/>
              </w:rPr>
              <w:t>Foodtech</w:t>
            </w:r>
            <w:proofErr w:type="spellEnd"/>
            <w:r w:rsidRPr="00B839CE">
              <w:rPr>
                <w:rFonts w:ascii="National 2" w:hAnsi="National 2" w:cs="Gibson-Light"/>
                <w:sz w:val="18"/>
                <w:szCs w:val="18"/>
              </w:rPr>
              <w:t xml:space="preserve">, Fintech and Gaming have established in the region, although other new growth tech sectors like </w:t>
            </w:r>
            <w:proofErr w:type="spellStart"/>
            <w:r w:rsidRPr="00B839CE">
              <w:rPr>
                <w:rFonts w:ascii="National 2" w:hAnsi="National 2" w:cs="Gibson-Light"/>
                <w:sz w:val="18"/>
                <w:szCs w:val="18"/>
              </w:rPr>
              <w:t>Healthtech</w:t>
            </w:r>
            <w:proofErr w:type="spellEnd"/>
            <w:r w:rsidRPr="00B839CE">
              <w:rPr>
                <w:rFonts w:ascii="National 2" w:hAnsi="National 2" w:cs="Gibson-Light"/>
                <w:sz w:val="18"/>
                <w:szCs w:val="18"/>
              </w:rPr>
              <w:t xml:space="preserve"> and Greentech have been slower to establish than in other cities</w:t>
            </w:r>
            <w:r w:rsidRPr="00B839CE">
              <w:rPr>
                <w:rStyle w:val="EndnoteReference"/>
                <w:rFonts w:ascii="National 2" w:hAnsi="National 2" w:cs="Gibson-Light"/>
                <w:sz w:val="18"/>
                <w:szCs w:val="18"/>
              </w:rPr>
              <w:endnoteReference w:id="5"/>
            </w:r>
            <w:r w:rsidRPr="00B839CE">
              <w:rPr>
                <w:rFonts w:ascii="National 2" w:hAnsi="National 2" w:cs="Gibson-Light"/>
                <w:sz w:val="18"/>
                <w:szCs w:val="18"/>
              </w:rPr>
              <w:t>.</w:t>
            </w:r>
          </w:p>
          <w:p w14:paraId="384AE0A2" w14:textId="207E2CF7" w:rsidR="00D046CD" w:rsidRPr="00B839CE" w:rsidRDefault="00F86B96" w:rsidP="00CE4142">
            <w:pPr>
              <w:autoSpaceDE w:val="0"/>
              <w:autoSpaceDN w:val="0"/>
              <w:adjustRightInd w:val="0"/>
              <w:spacing w:before="120" w:after="120"/>
              <w:rPr>
                <w:rFonts w:ascii="National 2" w:hAnsi="National 2" w:cs="Gibson-Light"/>
                <w:sz w:val="18"/>
                <w:szCs w:val="18"/>
              </w:rPr>
            </w:pPr>
            <w:r w:rsidRPr="00B839CE">
              <w:rPr>
                <w:rFonts w:ascii="National 2" w:hAnsi="National 2" w:cs="Gibson-Light"/>
                <w:sz w:val="18"/>
                <w:szCs w:val="18"/>
              </w:rPr>
              <w:t xml:space="preserve">Growth in </w:t>
            </w:r>
            <w:r w:rsidRPr="00B839CE">
              <w:rPr>
                <w:rFonts w:ascii="National 2" w:hAnsi="National 2"/>
                <w:sz w:val="18"/>
                <w:szCs w:val="18"/>
              </w:rPr>
              <w:t xml:space="preserve">future proof, high wage, export focused employment will not simply automatically flow to Auckland as the country’s largest centre.  </w:t>
            </w:r>
            <w:r w:rsidRPr="00B839CE">
              <w:rPr>
                <w:rFonts w:ascii="National 2" w:hAnsi="National 2" w:cs="Gibson-Light"/>
                <w:sz w:val="18"/>
                <w:szCs w:val="18"/>
              </w:rPr>
              <w:t xml:space="preserve">Auckland faces competition from alternative locations both at home and overseas. Comparator cites are actively planning for how to house tomorrow’s growth sectors in sustainable and connected employment precincts. The recent </w:t>
            </w:r>
            <w:r w:rsidRPr="00B839CE">
              <w:rPr>
                <w:rFonts w:ascii="National 2" w:hAnsi="National 2" w:cs="Gibson-Light"/>
                <w:b/>
                <w:bCs/>
                <w:i/>
                <w:color w:val="00A6A7"/>
                <w:sz w:val="18"/>
                <w:szCs w:val="18"/>
              </w:rPr>
              <w:t>State of the City: Tāmaki Makaurau Auckland’s international performance</w:t>
            </w:r>
            <w:r w:rsidR="00421F65" w:rsidRPr="00B839CE">
              <w:rPr>
                <w:rFonts w:ascii="National 2" w:hAnsi="National 2" w:cs="Gibson-Light"/>
                <w:b/>
                <w:bCs/>
                <w:i/>
                <w:color w:val="00A6A7"/>
                <w:sz w:val="18"/>
                <w:szCs w:val="18"/>
              </w:rPr>
              <w:t xml:space="preserve"> </w:t>
            </w:r>
            <w:r w:rsidR="00B83C18" w:rsidRPr="00B839CE">
              <w:rPr>
                <w:vertAlign w:val="superscript"/>
              </w:rPr>
              <w:t>iv</w:t>
            </w:r>
            <w:r w:rsidRPr="00B839CE">
              <w:rPr>
                <w:rFonts w:ascii="National 2" w:hAnsi="National 2" w:cs="Gibson-Light"/>
                <w:sz w:val="18"/>
                <w:szCs w:val="18"/>
              </w:rPr>
              <w:t xml:space="preserve"> </w:t>
            </w:r>
            <w:r w:rsidR="00570FC7" w:rsidRPr="00B839CE">
              <w:rPr>
                <w:rFonts w:ascii="National 2" w:hAnsi="National 2" w:cs="Gibson-Light"/>
                <w:sz w:val="18"/>
                <w:szCs w:val="18"/>
              </w:rPr>
              <w:t>report notes Auckland’s relative underperformance, relative to comparable cities, in several areas that limit the region’s competitiveness and attractiveness as a place for firms to locate</w:t>
            </w:r>
            <w:r w:rsidR="007F4E83" w:rsidRPr="00B839CE">
              <w:rPr>
                <w:rFonts w:ascii="National 2" w:hAnsi="National 2" w:cs="Gibson-Light"/>
                <w:sz w:val="18"/>
                <w:szCs w:val="18"/>
              </w:rPr>
              <w:t xml:space="preserve"> including </w:t>
            </w:r>
            <w:r w:rsidR="00665C35" w:rsidRPr="00B839CE">
              <w:rPr>
                <w:rFonts w:ascii="National 2" w:hAnsi="National 2" w:cs="Gibson-Light"/>
                <w:sz w:val="18"/>
                <w:szCs w:val="18"/>
              </w:rPr>
              <w:t xml:space="preserve">soft infrastructure around the innovation and knowledge </w:t>
            </w:r>
            <w:r w:rsidR="00CE4142" w:rsidRPr="00B839CE">
              <w:rPr>
                <w:rFonts w:ascii="National 2" w:hAnsi="National 2" w:cs="Gibson-Light"/>
                <w:sz w:val="18"/>
                <w:szCs w:val="18"/>
              </w:rPr>
              <w:t>ecosystem</w:t>
            </w:r>
            <w:r w:rsidR="004E3AD4" w:rsidRPr="00B839CE">
              <w:rPr>
                <w:rFonts w:ascii="National 2" w:hAnsi="National 2" w:cs="Gibson-Light"/>
                <w:sz w:val="18"/>
                <w:szCs w:val="18"/>
              </w:rPr>
              <w:t xml:space="preserve"> as well as places for firms to physically locate.  </w:t>
            </w:r>
            <w:r w:rsidR="00CE4142" w:rsidRPr="00B839CE">
              <w:rPr>
                <w:rFonts w:ascii="National 2" w:hAnsi="National 2" w:cs="Gibson-Light"/>
                <w:sz w:val="18"/>
                <w:szCs w:val="18"/>
              </w:rPr>
              <w:t xml:space="preserve"> Other cities take a stronger place-based approach to their job locations and infrastructure to attract those businesses keen to co-locate and cluster</w:t>
            </w:r>
            <w:r w:rsidR="00570FC7" w:rsidRPr="00B839CE">
              <w:rPr>
                <w:rFonts w:ascii="National 2" w:hAnsi="National 2" w:cs="Gibson-Light"/>
                <w:sz w:val="18"/>
                <w:szCs w:val="18"/>
              </w:rPr>
              <w:t xml:space="preserve">. </w:t>
            </w:r>
          </w:p>
          <w:p w14:paraId="3C0D4375" w14:textId="11F14EE1" w:rsidR="00F56F3B" w:rsidRPr="00B839CE" w:rsidRDefault="00D01141" w:rsidP="006B0ABE">
            <w:pPr>
              <w:autoSpaceDE w:val="0"/>
              <w:autoSpaceDN w:val="0"/>
              <w:adjustRightInd w:val="0"/>
              <w:spacing w:before="120" w:after="120"/>
              <w:rPr>
                <w:rFonts w:ascii="National 2" w:hAnsi="National 2" w:cs="Gibson-Light"/>
                <w:sz w:val="18"/>
                <w:szCs w:val="18"/>
              </w:rPr>
            </w:pPr>
            <w:r w:rsidRPr="00B839CE">
              <w:rPr>
                <w:rFonts w:ascii="National 2" w:hAnsi="National 2" w:cs="Gibson-Light"/>
                <w:sz w:val="18"/>
                <w:szCs w:val="18"/>
              </w:rPr>
              <w:t>T</w:t>
            </w:r>
            <w:r w:rsidR="00D20661" w:rsidRPr="00B839CE">
              <w:rPr>
                <w:rFonts w:ascii="National 2" w:hAnsi="National 2" w:cs="Gibson-Light"/>
                <w:sz w:val="18"/>
                <w:szCs w:val="18"/>
              </w:rPr>
              <w:t>he region’s recent pattern</w:t>
            </w:r>
            <w:r w:rsidRPr="00B839CE">
              <w:rPr>
                <w:rFonts w:ascii="National 2" w:hAnsi="National 2" w:cs="Gibson-Light"/>
                <w:sz w:val="18"/>
                <w:szCs w:val="18"/>
              </w:rPr>
              <w:t xml:space="preserve"> </w:t>
            </w:r>
            <w:r w:rsidR="00D20661" w:rsidRPr="00B839CE">
              <w:rPr>
                <w:rFonts w:ascii="National 2" w:hAnsi="National 2" w:cs="Gibson-Light"/>
                <w:sz w:val="18"/>
                <w:szCs w:val="18"/>
              </w:rPr>
              <w:t>of growth</w:t>
            </w:r>
            <w:r w:rsidR="005E1954" w:rsidRPr="00B839CE">
              <w:rPr>
                <w:rFonts w:ascii="National 2" w:hAnsi="National 2" w:cs="Gibson-Light"/>
                <w:sz w:val="18"/>
                <w:szCs w:val="18"/>
              </w:rPr>
              <w:t xml:space="preserve"> </w:t>
            </w:r>
            <w:r w:rsidRPr="00B839CE">
              <w:rPr>
                <w:rFonts w:ascii="National 2" w:hAnsi="National 2" w:cs="Gibson-Light"/>
                <w:sz w:val="18"/>
                <w:szCs w:val="18"/>
              </w:rPr>
              <w:t>indicates</w:t>
            </w:r>
            <w:r w:rsidR="00D20661" w:rsidRPr="00B839CE">
              <w:rPr>
                <w:rFonts w:ascii="National 2" w:hAnsi="National 2" w:cs="Gibson-Light"/>
                <w:sz w:val="18"/>
                <w:szCs w:val="18"/>
              </w:rPr>
              <w:t xml:space="preserve"> </w:t>
            </w:r>
            <w:r w:rsidR="00077E19" w:rsidRPr="00B839CE">
              <w:rPr>
                <w:rFonts w:ascii="National 2" w:hAnsi="National 2" w:cs="Gibson-Light"/>
                <w:sz w:val="18"/>
                <w:szCs w:val="18"/>
              </w:rPr>
              <w:t xml:space="preserve">the availability of </w:t>
            </w:r>
            <w:r w:rsidR="00053F5E" w:rsidRPr="00B839CE">
              <w:rPr>
                <w:rFonts w:ascii="National 2" w:hAnsi="National 2" w:cs="Gibson-Light"/>
                <w:sz w:val="18"/>
                <w:szCs w:val="18"/>
              </w:rPr>
              <w:t>high</w:t>
            </w:r>
            <w:r w:rsidR="00B83DEE" w:rsidRPr="00B839CE">
              <w:rPr>
                <w:rFonts w:ascii="National 2" w:hAnsi="National 2" w:cs="Gibson-Light"/>
                <w:sz w:val="18"/>
                <w:szCs w:val="18"/>
              </w:rPr>
              <w:t>-</w:t>
            </w:r>
            <w:r w:rsidR="00053F5E" w:rsidRPr="00B839CE">
              <w:rPr>
                <w:rFonts w:ascii="National 2" w:hAnsi="National 2" w:cs="Gibson-Light"/>
                <w:sz w:val="18"/>
                <w:szCs w:val="18"/>
              </w:rPr>
              <w:t>quality employment sites</w:t>
            </w:r>
            <w:r w:rsidR="00077E19" w:rsidRPr="00B839CE">
              <w:rPr>
                <w:rFonts w:ascii="National 2" w:hAnsi="National 2" w:cs="Gibson-Light"/>
                <w:sz w:val="18"/>
                <w:szCs w:val="18"/>
              </w:rPr>
              <w:t xml:space="preserve"> </w:t>
            </w:r>
            <w:r w:rsidR="001E3F20" w:rsidRPr="00B839CE">
              <w:rPr>
                <w:rFonts w:ascii="National 2" w:hAnsi="National 2" w:cs="Gibson-Light"/>
                <w:sz w:val="18"/>
                <w:szCs w:val="18"/>
              </w:rPr>
              <w:t xml:space="preserve">attracts businesses </w:t>
            </w:r>
            <w:r w:rsidR="005E1954" w:rsidRPr="00B839CE">
              <w:rPr>
                <w:rFonts w:ascii="National 2" w:hAnsi="National 2" w:cs="Gibson-Light"/>
                <w:sz w:val="18"/>
                <w:szCs w:val="18"/>
              </w:rPr>
              <w:t xml:space="preserve">able to offer </w:t>
            </w:r>
            <w:r w:rsidR="001E3F20" w:rsidRPr="00B839CE">
              <w:rPr>
                <w:rFonts w:ascii="National 2" w:hAnsi="National 2" w:cs="Gibson-Light"/>
                <w:sz w:val="18"/>
                <w:szCs w:val="18"/>
              </w:rPr>
              <w:t>quality employment opportunities.</w:t>
            </w:r>
            <w:r w:rsidRPr="00B839CE">
              <w:rPr>
                <w:rFonts w:ascii="National 2" w:hAnsi="National 2" w:cs="Gibson-Light"/>
                <w:sz w:val="18"/>
                <w:szCs w:val="18"/>
              </w:rPr>
              <w:t xml:space="preserve"> </w:t>
            </w:r>
            <w:r w:rsidR="00E07E71" w:rsidRPr="00B839CE">
              <w:rPr>
                <w:rFonts w:ascii="National 2" w:hAnsi="National 2" w:cs="Gibson-Light"/>
                <w:sz w:val="18"/>
                <w:szCs w:val="18"/>
              </w:rPr>
              <w:t xml:space="preserve">There is a spatial concentration of </w:t>
            </w:r>
            <w:r w:rsidR="00A437A2" w:rsidRPr="00B839CE">
              <w:rPr>
                <w:rFonts w:ascii="National 2" w:hAnsi="National 2" w:cs="Gibson-Light"/>
                <w:sz w:val="18"/>
                <w:szCs w:val="18"/>
              </w:rPr>
              <w:t>the region’s major tech companies</w:t>
            </w:r>
            <w:r w:rsidR="00C721EA" w:rsidRPr="00B839CE">
              <w:rPr>
                <w:rFonts w:ascii="National 2" w:hAnsi="National 2" w:cs="Gibson-Light"/>
                <w:sz w:val="18"/>
                <w:szCs w:val="18"/>
              </w:rPr>
              <w:t>,</w:t>
            </w:r>
            <w:r w:rsidR="006A671D" w:rsidRPr="00B839CE">
              <w:rPr>
                <w:rFonts w:ascii="National 2" w:hAnsi="National 2" w:cs="Gibson-Light"/>
                <w:sz w:val="18"/>
                <w:szCs w:val="18"/>
              </w:rPr>
              <w:t xml:space="preserve"> revealing </w:t>
            </w:r>
            <w:r w:rsidR="007C3351" w:rsidRPr="00B839CE">
              <w:rPr>
                <w:rFonts w:ascii="National 2" w:hAnsi="National 2" w:cs="Gibson-Light"/>
                <w:sz w:val="18"/>
                <w:szCs w:val="18"/>
              </w:rPr>
              <w:t>locational</w:t>
            </w:r>
            <w:r w:rsidR="006A671D" w:rsidRPr="00B839CE">
              <w:rPr>
                <w:rFonts w:ascii="National 2" w:hAnsi="National 2" w:cs="Gibson-Light"/>
                <w:sz w:val="18"/>
                <w:szCs w:val="18"/>
              </w:rPr>
              <w:t xml:space="preserve"> preference</w:t>
            </w:r>
            <w:r w:rsidR="007C3351" w:rsidRPr="00B839CE">
              <w:rPr>
                <w:rFonts w:ascii="National 2" w:hAnsi="National 2" w:cs="Gibson-Light"/>
                <w:sz w:val="18"/>
                <w:szCs w:val="18"/>
              </w:rPr>
              <w:t>s that are not necessarily easily replicated</w:t>
            </w:r>
            <w:r w:rsidR="00857F68" w:rsidRPr="00B839CE">
              <w:rPr>
                <w:rFonts w:ascii="National 2" w:hAnsi="National 2" w:cs="Gibson-Light"/>
                <w:sz w:val="18"/>
                <w:szCs w:val="18"/>
              </w:rPr>
              <w:t xml:space="preserve"> across the region.  </w:t>
            </w:r>
            <w:r w:rsidR="006A671D" w:rsidRPr="00B839CE">
              <w:rPr>
                <w:rFonts w:ascii="National 2" w:hAnsi="National 2" w:cs="Gibson-Light"/>
                <w:sz w:val="18"/>
                <w:szCs w:val="18"/>
              </w:rPr>
              <w:t xml:space="preserve"> </w:t>
            </w:r>
            <w:r w:rsidR="000B7E2F" w:rsidRPr="00B839CE">
              <w:rPr>
                <w:rFonts w:ascii="National 2" w:hAnsi="National 2" w:cs="Gibson-Light"/>
                <w:sz w:val="18"/>
                <w:szCs w:val="18"/>
              </w:rPr>
              <w:t xml:space="preserve">Ensuring space and </w:t>
            </w:r>
            <w:r w:rsidR="00294D79" w:rsidRPr="00B839CE">
              <w:rPr>
                <w:rFonts w:ascii="National 2" w:hAnsi="National 2" w:cs="Gibson-Light"/>
                <w:sz w:val="18"/>
                <w:szCs w:val="18"/>
              </w:rPr>
              <w:t xml:space="preserve">adequate transport options </w:t>
            </w:r>
            <w:r w:rsidR="00D036B4" w:rsidRPr="00B839CE">
              <w:rPr>
                <w:rFonts w:ascii="National 2" w:hAnsi="National 2" w:cs="Gibson-Light"/>
                <w:sz w:val="18"/>
                <w:szCs w:val="18"/>
              </w:rPr>
              <w:t xml:space="preserve">are available, </w:t>
            </w:r>
            <w:r w:rsidR="000B7E2F" w:rsidRPr="00B839CE">
              <w:rPr>
                <w:rFonts w:ascii="National 2" w:hAnsi="National 2" w:cs="Gibson-Light"/>
                <w:sz w:val="18"/>
                <w:szCs w:val="18"/>
              </w:rPr>
              <w:t xml:space="preserve">that meet the needs of the high value growth sectors </w:t>
            </w:r>
            <w:r w:rsidR="00294D79" w:rsidRPr="00B839CE">
              <w:rPr>
                <w:rFonts w:ascii="National 2" w:hAnsi="National 2" w:cs="Gibson-Light"/>
                <w:sz w:val="18"/>
                <w:szCs w:val="18"/>
              </w:rPr>
              <w:t xml:space="preserve">the region </w:t>
            </w:r>
            <w:r w:rsidR="00D036B4" w:rsidRPr="00B839CE">
              <w:rPr>
                <w:rFonts w:ascii="National 2" w:hAnsi="National 2" w:cs="Gibson-Light"/>
                <w:sz w:val="18"/>
                <w:szCs w:val="18"/>
              </w:rPr>
              <w:t xml:space="preserve">wishes to attract, </w:t>
            </w:r>
            <w:r w:rsidR="000B7E2F" w:rsidRPr="00B839CE">
              <w:rPr>
                <w:rFonts w:ascii="National 2" w:hAnsi="National 2" w:cs="Gibson-Light"/>
                <w:sz w:val="18"/>
                <w:szCs w:val="18"/>
              </w:rPr>
              <w:t xml:space="preserve">will be important for the development of the Auckland economy to provide access to quality economic opportunities in the future. </w:t>
            </w:r>
          </w:p>
          <w:p w14:paraId="4D6A51F4" w14:textId="77777777" w:rsidR="00C721EA" w:rsidRPr="00B839CE" w:rsidRDefault="00D01141" w:rsidP="00D01141">
            <w:pPr>
              <w:tabs>
                <w:tab w:val="left" w:pos="2264"/>
              </w:tabs>
              <w:spacing w:before="120"/>
              <w:rPr>
                <w:rFonts w:ascii="National 2" w:eastAsia="Times New Roman" w:hAnsi="National 2"/>
                <w:sz w:val="18"/>
                <w:szCs w:val="18"/>
              </w:rPr>
            </w:pPr>
            <w:r w:rsidRPr="00B839CE">
              <w:rPr>
                <w:rFonts w:ascii="National 2" w:hAnsi="National 2"/>
                <w:sz w:val="18"/>
                <w:szCs w:val="18"/>
              </w:rPr>
              <w:t>To deliver a sustainable, future proof, high wage economy</w:t>
            </w:r>
            <w:r w:rsidRPr="00B839CE">
              <w:rPr>
                <w:rFonts w:ascii="National 2" w:eastAsia="Times New Roman" w:hAnsi="National 2"/>
                <w:sz w:val="18"/>
                <w:szCs w:val="18"/>
              </w:rPr>
              <w:t xml:space="preserve"> requires a detailed appraisal of not just the quantity of employment land available. It needs to also consider the extent to which there is provision for a mix of sectors to locate in areas that meet their changing locational needs (location, infrastructure, amenity, quality of premises) as well as those of the sectors they benefit from co-locating with. This is needed to support their productivity, profitability and ability to grow.  </w:t>
            </w:r>
          </w:p>
          <w:p w14:paraId="7FDC3028" w14:textId="716BBE24" w:rsidR="00D01141" w:rsidRPr="00B839CE" w:rsidRDefault="00D01141" w:rsidP="00D01141">
            <w:pPr>
              <w:tabs>
                <w:tab w:val="left" w:pos="2264"/>
              </w:tabs>
              <w:spacing w:before="120"/>
              <w:rPr>
                <w:rFonts w:ascii="National 2" w:eastAsia="Times New Roman" w:hAnsi="National 2"/>
                <w:sz w:val="18"/>
                <w:szCs w:val="18"/>
              </w:rPr>
            </w:pPr>
            <w:r w:rsidRPr="00B839CE">
              <w:rPr>
                <w:rFonts w:ascii="National 2" w:eastAsia="Times New Roman" w:hAnsi="National 2"/>
                <w:sz w:val="18"/>
                <w:szCs w:val="18"/>
              </w:rPr>
              <w:t xml:space="preserve">This requires a </w:t>
            </w:r>
            <w:r w:rsidRPr="00B839CE">
              <w:rPr>
                <w:rFonts w:ascii="National 2" w:hAnsi="National 2"/>
                <w:sz w:val="18"/>
                <w:szCs w:val="18"/>
              </w:rPr>
              <w:t xml:space="preserve">vision for employment precincts that meet </w:t>
            </w:r>
            <w:r w:rsidR="00164D56" w:rsidRPr="00B839CE">
              <w:rPr>
                <w:rFonts w:ascii="National 2" w:hAnsi="National 2"/>
                <w:sz w:val="18"/>
                <w:szCs w:val="18"/>
              </w:rPr>
              <w:t xml:space="preserve">the </w:t>
            </w:r>
            <w:r w:rsidRPr="00B839CE">
              <w:rPr>
                <w:rFonts w:ascii="National 2" w:hAnsi="National 2"/>
                <w:sz w:val="18"/>
                <w:szCs w:val="18"/>
              </w:rPr>
              <w:t xml:space="preserve">needs of </w:t>
            </w:r>
            <w:r w:rsidR="00164D56" w:rsidRPr="00B839CE">
              <w:rPr>
                <w:rFonts w:ascii="National 2" w:hAnsi="National 2"/>
                <w:sz w:val="18"/>
                <w:szCs w:val="18"/>
              </w:rPr>
              <w:t xml:space="preserve">a </w:t>
            </w:r>
            <w:r w:rsidRPr="00B839CE">
              <w:rPr>
                <w:rFonts w:ascii="National 2" w:hAnsi="National 2"/>
                <w:sz w:val="18"/>
                <w:szCs w:val="18"/>
              </w:rPr>
              <w:t>range of current and future growth sectors across the region, so everyone has good access to good employment opportunities.</w:t>
            </w:r>
          </w:p>
          <w:p w14:paraId="28590A95" w14:textId="3D307D32" w:rsidR="00D01141" w:rsidRPr="006B0ABE" w:rsidRDefault="00D01141" w:rsidP="00D01141">
            <w:pPr>
              <w:autoSpaceDE w:val="0"/>
              <w:autoSpaceDN w:val="0"/>
              <w:adjustRightInd w:val="0"/>
              <w:spacing w:before="120" w:after="120"/>
              <w:rPr>
                <w:rFonts w:ascii="National 2" w:hAnsi="National 2" w:cs="Gibson-Light"/>
                <w:sz w:val="18"/>
                <w:szCs w:val="18"/>
                <w:highlight w:val="yellow"/>
              </w:rPr>
            </w:pPr>
            <w:r w:rsidRPr="00B839CE">
              <w:rPr>
                <w:rFonts w:ascii="National 2" w:eastAsia="Times New Roman" w:hAnsi="National 2"/>
                <w:sz w:val="18"/>
                <w:szCs w:val="18"/>
              </w:rPr>
              <w:t>Striking a balance between managed transition of some areas to other higher density employment uses, the protection or consolidation of others who are home to sectors whose locational choices are constrained, and the provision for new industries that the region could attract and grow, is key.</w:t>
            </w:r>
          </w:p>
        </w:tc>
      </w:tr>
    </w:tbl>
    <w:p w14:paraId="3ED8E8BB" w14:textId="77777777" w:rsidR="007C7B46" w:rsidRPr="00C8052F" w:rsidRDefault="007C7B46" w:rsidP="005F40F2">
      <w:pPr>
        <w:rPr>
          <w:rFonts w:ascii="National 2" w:hAnsi="National 2"/>
          <w:sz w:val="2"/>
          <w:szCs w:val="2"/>
        </w:rPr>
      </w:pPr>
    </w:p>
    <w:sectPr w:rsidR="007C7B46" w:rsidRPr="00C8052F" w:rsidSect="00B83C18">
      <w:pgSz w:w="23811" w:h="16838" w:orient="landscape" w:code="8"/>
      <w:pgMar w:top="680" w:right="1440" w:bottom="6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0EC2" w14:textId="77777777" w:rsidR="00610E28" w:rsidRDefault="00610E28" w:rsidP="00162D6D">
      <w:pPr>
        <w:spacing w:after="0" w:line="240" w:lineRule="auto"/>
      </w:pPr>
      <w:r>
        <w:separator/>
      </w:r>
    </w:p>
  </w:endnote>
  <w:endnote w:type="continuationSeparator" w:id="0">
    <w:p w14:paraId="2D4DB869" w14:textId="77777777" w:rsidR="00610E28" w:rsidRDefault="00610E28" w:rsidP="00162D6D">
      <w:pPr>
        <w:spacing w:after="0" w:line="240" w:lineRule="auto"/>
      </w:pPr>
      <w:r>
        <w:continuationSeparator/>
      </w:r>
    </w:p>
  </w:endnote>
  <w:endnote w:id="1">
    <w:p w14:paraId="7333BA7C" w14:textId="4F81DCCD" w:rsidR="00F86B96" w:rsidRPr="00B56ADA" w:rsidRDefault="00F86B96">
      <w:pPr>
        <w:pStyle w:val="EndnoteText"/>
        <w:rPr>
          <w:rFonts w:ascii="National 2" w:hAnsi="National 2"/>
          <w:sz w:val="16"/>
          <w:szCs w:val="16"/>
        </w:rPr>
      </w:pPr>
      <w:r w:rsidRPr="00B56ADA">
        <w:rPr>
          <w:rStyle w:val="EndnoteReference"/>
          <w:rFonts w:ascii="National 2" w:hAnsi="National 2"/>
          <w:sz w:val="16"/>
          <w:szCs w:val="16"/>
        </w:rPr>
        <w:endnoteRef/>
      </w:r>
      <w:r w:rsidRPr="00B56ADA">
        <w:rPr>
          <w:rFonts w:ascii="National 2" w:hAnsi="National 2"/>
          <w:sz w:val="16"/>
          <w:szCs w:val="16"/>
        </w:rPr>
        <w:t xml:space="preserve"> https://www.colliers.co.nz/en-nz/real-estate-research/colliers-essentials-akl-industrial-1h-23</w:t>
      </w:r>
    </w:p>
  </w:endnote>
  <w:endnote w:id="2">
    <w:p w14:paraId="670FAC84" w14:textId="6EB826C8" w:rsidR="00F86B96" w:rsidRPr="00B56ADA" w:rsidRDefault="00F86B96">
      <w:pPr>
        <w:pStyle w:val="EndnoteText"/>
        <w:rPr>
          <w:rFonts w:ascii="National 2" w:hAnsi="National 2"/>
          <w:sz w:val="16"/>
          <w:szCs w:val="16"/>
          <w:lang w:val="en-US"/>
        </w:rPr>
      </w:pPr>
      <w:r w:rsidRPr="00B56ADA">
        <w:rPr>
          <w:rStyle w:val="EndnoteReference"/>
          <w:rFonts w:ascii="National 2" w:hAnsi="National 2"/>
          <w:sz w:val="16"/>
          <w:szCs w:val="16"/>
        </w:rPr>
        <w:endnoteRef/>
      </w:r>
      <w:r w:rsidRPr="00B56ADA">
        <w:rPr>
          <w:rFonts w:ascii="National 2" w:hAnsi="National 2"/>
          <w:sz w:val="16"/>
          <w:szCs w:val="16"/>
        </w:rPr>
        <w:t xml:space="preserve"> https://www.colliers.co.nz/en-nz/real-estate-research/colliers-essentials-auckland-cbd-office-1h-2023</w:t>
      </w:r>
    </w:p>
  </w:endnote>
  <w:endnote w:id="3">
    <w:p w14:paraId="21196043" w14:textId="3D4B1EA6" w:rsidR="00F86B96" w:rsidRPr="00B56ADA" w:rsidRDefault="00F86B96">
      <w:pPr>
        <w:pStyle w:val="EndnoteText"/>
        <w:rPr>
          <w:rFonts w:ascii="National 2" w:hAnsi="National 2"/>
          <w:sz w:val="16"/>
          <w:szCs w:val="16"/>
        </w:rPr>
      </w:pPr>
      <w:r w:rsidRPr="00B56ADA">
        <w:rPr>
          <w:rStyle w:val="EndnoteReference"/>
          <w:rFonts w:ascii="National 2" w:hAnsi="National 2"/>
          <w:sz w:val="16"/>
          <w:szCs w:val="16"/>
        </w:rPr>
        <w:endnoteRef/>
      </w:r>
      <w:r w:rsidRPr="00B56ADA">
        <w:rPr>
          <w:rFonts w:ascii="National 2" w:hAnsi="National 2"/>
          <w:sz w:val="16"/>
          <w:szCs w:val="16"/>
        </w:rPr>
        <w:t xml:space="preserve"> https://www.colliers.co.nz/en-nz/real-estate-research/colliers-essentials-auckland-retail-report-first-half-2023</w:t>
      </w:r>
    </w:p>
  </w:endnote>
  <w:endnote w:id="4">
    <w:p w14:paraId="3A4EAC53" w14:textId="26469EE9" w:rsidR="00F86B96" w:rsidRPr="00B56ADA" w:rsidRDefault="00F86B96">
      <w:pPr>
        <w:pStyle w:val="EndnoteText"/>
        <w:rPr>
          <w:rFonts w:ascii="National 2" w:hAnsi="National 2"/>
          <w:sz w:val="16"/>
          <w:szCs w:val="16"/>
        </w:rPr>
      </w:pPr>
      <w:r w:rsidRPr="00B56ADA">
        <w:rPr>
          <w:rStyle w:val="EndnoteReference"/>
          <w:rFonts w:ascii="National 2" w:hAnsi="National 2"/>
          <w:sz w:val="16"/>
          <w:szCs w:val="16"/>
        </w:rPr>
        <w:endnoteRef/>
      </w:r>
      <w:r w:rsidRPr="00B56ADA">
        <w:rPr>
          <w:rFonts w:ascii="National 2" w:hAnsi="National 2"/>
          <w:sz w:val="16"/>
          <w:szCs w:val="16"/>
        </w:rPr>
        <w:t xml:space="preserve"> Auckland Tach Sector (TIN200), Tātaki Auckland Unlimited</w:t>
      </w:r>
    </w:p>
  </w:endnote>
  <w:endnote w:id="5">
    <w:p w14:paraId="725120F6" w14:textId="471657B9" w:rsidR="00F86B96" w:rsidRPr="00B56ADA" w:rsidRDefault="00F86B96" w:rsidP="00E22BC4">
      <w:pPr>
        <w:pStyle w:val="EndnoteText"/>
        <w:rPr>
          <w:rFonts w:ascii="National 2" w:hAnsi="National 2"/>
          <w:sz w:val="16"/>
          <w:szCs w:val="16"/>
        </w:rPr>
      </w:pPr>
      <w:r w:rsidRPr="00B56ADA">
        <w:rPr>
          <w:rStyle w:val="EndnoteReference"/>
          <w:rFonts w:ascii="National 2" w:hAnsi="National 2"/>
          <w:sz w:val="16"/>
          <w:szCs w:val="16"/>
        </w:rPr>
        <w:endnoteRef/>
      </w:r>
      <w:r w:rsidRPr="00B56ADA">
        <w:rPr>
          <w:rFonts w:ascii="National 2" w:hAnsi="National 2"/>
          <w:sz w:val="16"/>
          <w:szCs w:val="16"/>
        </w:rPr>
        <w:t xml:space="preserve"> </w:t>
      </w:r>
      <w:r w:rsidRPr="00B56ADA">
        <w:rPr>
          <w:rFonts w:ascii="National 2" w:hAnsi="National 2" w:cs="Gibson-Light"/>
          <w:i/>
          <w:iCs/>
          <w:sz w:val="16"/>
          <w:szCs w:val="16"/>
        </w:rPr>
        <w:t>State of the City: Tāmaki Makaurau Auckland’s international performance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tional 2">
    <w:panose1 w:val="02000003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Gibson-Light">
    <w:altName w:val="Calibri"/>
    <w:panose1 w:val="00000000000000000000"/>
    <w:charset w:val="EE"/>
    <w:family w:val="swiss"/>
    <w:notTrueType/>
    <w:pitch w:val="default"/>
    <w:sig w:usb0="00000005" w:usb1="00000000" w:usb2="00000000" w:usb3="00000000" w:csb0="00000002"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BD4A" w14:textId="77777777" w:rsidR="00610E28" w:rsidRDefault="00610E28" w:rsidP="00162D6D">
      <w:pPr>
        <w:spacing w:after="0" w:line="240" w:lineRule="auto"/>
      </w:pPr>
      <w:r>
        <w:separator/>
      </w:r>
    </w:p>
  </w:footnote>
  <w:footnote w:type="continuationSeparator" w:id="0">
    <w:p w14:paraId="12E79928" w14:textId="77777777" w:rsidR="00610E28" w:rsidRDefault="00610E28" w:rsidP="00162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322D5"/>
    <w:multiLevelType w:val="hybridMultilevel"/>
    <w:tmpl w:val="1A906C2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84C710D"/>
    <w:multiLevelType w:val="hybridMultilevel"/>
    <w:tmpl w:val="29FE6ECA"/>
    <w:lvl w:ilvl="0" w:tplc="32C87350">
      <w:numFmt w:val="bullet"/>
      <w:lvlText w:val="•"/>
      <w:lvlJc w:val="left"/>
      <w:pPr>
        <w:ind w:left="720" w:hanging="360"/>
      </w:pPr>
      <w:rPr>
        <w:rFonts w:ascii="Franklin Gothic Book" w:eastAsia="Franklin Gothic Book" w:hAnsi="Franklin Gothic Book" w:cs="Franklin Gothic Book"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58893884">
    <w:abstractNumId w:val="0"/>
  </w:num>
  <w:num w:numId="2" w16cid:durableId="1549292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8D"/>
    <w:rsid w:val="0000084E"/>
    <w:rsid w:val="00003F0C"/>
    <w:rsid w:val="00004635"/>
    <w:rsid w:val="00005422"/>
    <w:rsid w:val="000116D9"/>
    <w:rsid w:val="00016CDF"/>
    <w:rsid w:val="000205F9"/>
    <w:rsid w:val="00023278"/>
    <w:rsid w:val="00033478"/>
    <w:rsid w:val="0003546B"/>
    <w:rsid w:val="0003685B"/>
    <w:rsid w:val="000410A6"/>
    <w:rsid w:val="000417CA"/>
    <w:rsid w:val="00041DF1"/>
    <w:rsid w:val="00043F70"/>
    <w:rsid w:val="0004433B"/>
    <w:rsid w:val="0004737F"/>
    <w:rsid w:val="00053F5E"/>
    <w:rsid w:val="000542CD"/>
    <w:rsid w:val="00063547"/>
    <w:rsid w:val="0006370D"/>
    <w:rsid w:val="00063D7F"/>
    <w:rsid w:val="000676BE"/>
    <w:rsid w:val="000746CC"/>
    <w:rsid w:val="00077E19"/>
    <w:rsid w:val="000828CC"/>
    <w:rsid w:val="00082D4A"/>
    <w:rsid w:val="00084360"/>
    <w:rsid w:val="000868B7"/>
    <w:rsid w:val="000911E8"/>
    <w:rsid w:val="0009314A"/>
    <w:rsid w:val="00094594"/>
    <w:rsid w:val="000A2784"/>
    <w:rsid w:val="000A2CE5"/>
    <w:rsid w:val="000A42A4"/>
    <w:rsid w:val="000A76EB"/>
    <w:rsid w:val="000B1AFB"/>
    <w:rsid w:val="000B2C51"/>
    <w:rsid w:val="000B30CE"/>
    <w:rsid w:val="000B6C47"/>
    <w:rsid w:val="000B7E2F"/>
    <w:rsid w:val="000C2A87"/>
    <w:rsid w:val="000C4460"/>
    <w:rsid w:val="000D4F2E"/>
    <w:rsid w:val="000D69A0"/>
    <w:rsid w:val="000E55B1"/>
    <w:rsid w:val="000F23FC"/>
    <w:rsid w:val="000F6ABD"/>
    <w:rsid w:val="000F7BD2"/>
    <w:rsid w:val="000F7F29"/>
    <w:rsid w:val="00103DF0"/>
    <w:rsid w:val="00105786"/>
    <w:rsid w:val="00105E61"/>
    <w:rsid w:val="00105FD2"/>
    <w:rsid w:val="0010786A"/>
    <w:rsid w:val="00110ABB"/>
    <w:rsid w:val="0011161E"/>
    <w:rsid w:val="00112DA4"/>
    <w:rsid w:val="00113E04"/>
    <w:rsid w:val="00114195"/>
    <w:rsid w:val="00117701"/>
    <w:rsid w:val="00117AC1"/>
    <w:rsid w:val="00123B9B"/>
    <w:rsid w:val="00124299"/>
    <w:rsid w:val="00132A19"/>
    <w:rsid w:val="00132AFB"/>
    <w:rsid w:val="0013392C"/>
    <w:rsid w:val="00134E1B"/>
    <w:rsid w:val="001379DE"/>
    <w:rsid w:val="00140927"/>
    <w:rsid w:val="00152841"/>
    <w:rsid w:val="00153625"/>
    <w:rsid w:val="00154B8D"/>
    <w:rsid w:val="00155ADD"/>
    <w:rsid w:val="00156514"/>
    <w:rsid w:val="00157A6B"/>
    <w:rsid w:val="00162078"/>
    <w:rsid w:val="00162D52"/>
    <w:rsid w:val="00162D6D"/>
    <w:rsid w:val="00164D56"/>
    <w:rsid w:val="001662C8"/>
    <w:rsid w:val="00170299"/>
    <w:rsid w:val="00174B63"/>
    <w:rsid w:val="001752FB"/>
    <w:rsid w:val="001757D9"/>
    <w:rsid w:val="00185A1B"/>
    <w:rsid w:val="00186BDF"/>
    <w:rsid w:val="001910BA"/>
    <w:rsid w:val="001B1F74"/>
    <w:rsid w:val="001B3EAF"/>
    <w:rsid w:val="001C2C8E"/>
    <w:rsid w:val="001C54D4"/>
    <w:rsid w:val="001D56D4"/>
    <w:rsid w:val="001E05BB"/>
    <w:rsid w:val="001E1D10"/>
    <w:rsid w:val="001E32A1"/>
    <w:rsid w:val="001E3F20"/>
    <w:rsid w:val="001E70BC"/>
    <w:rsid w:val="001F0E64"/>
    <w:rsid w:val="00200A56"/>
    <w:rsid w:val="00211060"/>
    <w:rsid w:val="00215DEC"/>
    <w:rsid w:val="00221A34"/>
    <w:rsid w:val="0023014E"/>
    <w:rsid w:val="002317A1"/>
    <w:rsid w:val="00232183"/>
    <w:rsid w:val="002328EF"/>
    <w:rsid w:val="00243B07"/>
    <w:rsid w:val="002442C8"/>
    <w:rsid w:val="00245BDD"/>
    <w:rsid w:val="00246EAB"/>
    <w:rsid w:val="00251CBB"/>
    <w:rsid w:val="00255539"/>
    <w:rsid w:val="0025580D"/>
    <w:rsid w:val="0025704E"/>
    <w:rsid w:val="002645F7"/>
    <w:rsid w:val="002646F2"/>
    <w:rsid w:val="00265B43"/>
    <w:rsid w:val="00272538"/>
    <w:rsid w:val="00275EDD"/>
    <w:rsid w:val="00283209"/>
    <w:rsid w:val="00283E95"/>
    <w:rsid w:val="002911EB"/>
    <w:rsid w:val="00294D79"/>
    <w:rsid w:val="00297594"/>
    <w:rsid w:val="00297EC9"/>
    <w:rsid w:val="002A3323"/>
    <w:rsid w:val="002A56E9"/>
    <w:rsid w:val="002B205A"/>
    <w:rsid w:val="002B23EC"/>
    <w:rsid w:val="002B7EDB"/>
    <w:rsid w:val="002C35AB"/>
    <w:rsid w:val="002D10BC"/>
    <w:rsid w:val="002D2408"/>
    <w:rsid w:val="002D2D9C"/>
    <w:rsid w:val="002D4667"/>
    <w:rsid w:val="002D7F7D"/>
    <w:rsid w:val="002E79A1"/>
    <w:rsid w:val="002E7E70"/>
    <w:rsid w:val="002F45E4"/>
    <w:rsid w:val="002F5111"/>
    <w:rsid w:val="00301553"/>
    <w:rsid w:val="0030460F"/>
    <w:rsid w:val="003049D2"/>
    <w:rsid w:val="003064B3"/>
    <w:rsid w:val="00306DE5"/>
    <w:rsid w:val="00311855"/>
    <w:rsid w:val="00312C7D"/>
    <w:rsid w:val="0032230B"/>
    <w:rsid w:val="00322CA5"/>
    <w:rsid w:val="00330303"/>
    <w:rsid w:val="003378EF"/>
    <w:rsid w:val="0034212E"/>
    <w:rsid w:val="00343639"/>
    <w:rsid w:val="00345528"/>
    <w:rsid w:val="00346BCC"/>
    <w:rsid w:val="0035448C"/>
    <w:rsid w:val="003563D6"/>
    <w:rsid w:val="00356BF2"/>
    <w:rsid w:val="003611D8"/>
    <w:rsid w:val="00364376"/>
    <w:rsid w:val="003660E5"/>
    <w:rsid w:val="00373AB8"/>
    <w:rsid w:val="00374B9C"/>
    <w:rsid w:val="00375845"/>
    <w:rsid w:val="00377506"/>
    <w:rsid w:val="00380B63"/>
    <w:rsid w:val="0038399B"/>
    <w:rsid w:val="00383A55"/>
    <w:rsid w:val="003846B6"/>
    <w:rsid w:val="003865F9"/>
    <w:rsid w:val="00386D7B"/>
    <w:rsid w:val="00387552"/>
    <w:rsid w:val="00387817"/>
    <w:rsid w:val="00392041"/>
    <w:rsid w:val="00397BA7"/>
    <w:rsid w:val="003A5A3E"/>
    <w:rsid w:val="003A674C"/>
    <w:rsid w:val="003A7A78"/>
    <w:rsid w:val="003B750C"/>
    <w:rsid w:val="003C0554"/>
    <w:rsid w:val="003C0DEF"/>
    <w:rsid w:val="003C435A"/>
    <w:rsid w:val="003C5E98"/>
    <w:rsid w:val="003C62E1"/>
    <w:rsid w:val="003D2E17"/>
    <w:rsid w:val="003D6086"/>
    <w:rsid w:val="003D6D4C"/>
    <w:rsid w:val="003D7738"/>
    <w:rsid w:val="003E0F4A"/>
    <w:rsid w:val="003E209E"/>
    <w:rsid w:val="003E50B7"/>
    <w:rsid w:val="003E5723"/>
    <w:rsid w:val="003F33F9"/>
    <w:rsid w:val="003F4A4E"/>
    <w:rsid w:val="00401804"/>
    <w:rsid w:val="00404C57"/>
    <w:rsid w:val="00406FC3"/>
    <w:rsid w:val="00411AA4"/>
    <w:rsid w:val="00421F65"/>
    <w:rsid w:val="00422127"/>
    <w:rsid w:val="00422409"/>
    <w:rsid w:val="004227EB"/>
    <w:rsid w:val="00423940"/>
    <w:rsid w:val="004260E2"/>
    <w:rsid w:val="00432A57"/>
    <w:rsid w:val="00432F9B"/>
    <w:rsid w:val="004379D6"/>
    <w:rsid w:val="004420A8"/>
    <w:rsid w:val="004431F5"/>
    <w:rsid w:val="004479E6"/>
    <w:rsid w:val="004519F4"/>
    <w:rsid w:val="00452565"/>
    <w:rsid w:val="00452960"/>
    <w:rsid w:val="00461A2E"/>
    <w:rsid w:val="0046283B"/>
    <w:rsid w:val="00465369"/>
    <w:rsid w:val="004718C0"/>
    <w:rsid w:val="00471949"/>
    <w:rsid w:val="00477730"/>
    <w:rsid w:val="00480416"/>
    <w:rsid w:val="004875B7"/>
    <w:rsid w:val="00491E58"/>
    <w:rsid w:val="004966FF"/>
    <w:rsid w:val="004A44F9"/>
    <w:rsid w:val="004A5C88"/>
    <w:rsid w:val="004A71C8"/>
    <w:rsid w:val="004B20FF"/>
    <w:rsid w:val="004B6FD9"/>
    <w:rsid w:val="004B75F3"/>
    <w:rsid w:val="004C018D"/>
    <w:rsid w:val="004C164C"/>
    <w:rsid w:val="004C59B8"/>
    <w:rsid w:val="004D16A2"/>
    <w:rsid w:val="004D29EF"/>
    <w:rsid w:val="004D45B8"/>
    <w:rsid w:val="004D582D"/>
    <w:rsid w:val="004D5E0B"/>
    <w:rsid w:val="004D6233"/>
    <w:rsid w:val="004E10C3"/>
    <w:rsid w:val="004E16EE"/>
    <w:rsid w:val="004E2738"/>
    <w:rsid w:val="004E36A0"/>
    <w:rsid w:val="004E3AD4"/>
    <w:rsid w:val="004E414B"/>
    <w:rsid w:val="004E5B0D"/>
    <w:rsid w:val="004F1946"/>
    <w:rsid w:val="00511188"/>
    <w:rsid w:val="00512B06"/>
    <w:rsid w:val="00512BA1"/>
    <w:rsid w:val="00522759"/>
    <w:rsid w:val="00524A57"/>
    <w:rsid w:val="00531976"/>
    <w:rsid w:val="00533A5B"/>
    <w:rsid w:val="00533F58"/>
    <w:rsid w:val="00542266"/>
    <w:rsid w:val="005426EF"/>
    <w:rsid w:val="005441DE"/>
    <w:rsid w:val="00546725"/>
    <w:rsid w:val="005500A6"/>
    <w:rsid w:val="00550A38"/>
    <w:rsid w:val="005564FD"/>
    <w:rsid w:val="00560279"/>
    <w:rsid w:val="005624DB"/>
    <w:rsid w:val="00562A2C"/>
    <w:rsid w:val="00570FC7"/>
    <w:rsid w:val="00572AD2"/>
    <w:rsid w:val="005814F3"/>
    <w:rsid w:val="005819B8"/>
    <w:rsid w:val="005820FD"/>
    <w:rsid w:val="00583B71"/>
    <w:rsid w:val="00583EE8"/>
    <w:rsid w:val="00591017"/>
    <w:rsid w:val="00593531"/>
    <w:rsid w:val="00593D26"/>
    <w:rsid w:val="00594C51"/>
    <w:rsid w:val="005A3ED1"/>
    <w:rsid w:val="005B09C6"/>
    <w:rsid w:val="005B1067"/>
    <w:rsid w:val="005B4142"/>
    <w:rsid w:val="005B50D5"/>
    <w:rsid w:val="005C1400"/>
    <w:rsid w:val="005C3C6A"/>
    <w:rsid w:val="005C72BC"/>
    <w:rsid w:val="005D7E1F"/>
    <w:rsid w:val="005E1954"/>
    <w:rsid w:val="005E313A"/>
    <w:rsid w:val="005E5AAA"/>
    <w:rsid w:val="005F24FC"/>
    <w:rsid w:val="005F40F2"/>
    <w:rsid w:val="005F586C"/>
    <w:rsid w:val="005F7857"/>
    <w:rsid w:val="00601497"/>
    <w:rsid w:val="00610E28"/>
    <w:rsid w:val="00614AF0"/>
    <w:rsid w:val="0061651C"/>
    <w:rsid w:val="006166FE"/>
    <w:rsid w:val="006243E1"/>
    <w:rsid w:val="00624B3F"/>
    <w:rsid w:val="00626507"/>
    <w:rsid w:val="006277F9"/>
    <w:rsid w:val="00631962"/>
    <w:rsid w:val="0063573E"/>
    <w:rsid w:val="0063606A"/>
    <w:rsid w:val="006372D5"/>
    <w:rsid w:val="006428B1"/>
    <w:rsid w:val="00642A2A"/>
    <w:rsid w:val="00644F4A"/>
    <w:rsid w:val="00645EF2"/>
    <w:rsid w:val="00652377"/>
    <w:rsid w:val="00653887"/>
    <w:rsid w:val="00661883"/>
    <w:rsid w:val="00661A27"/>
    <w:rsid w:val="00663FA4"/>
    <w:rsid w:val="00664D51"/>
    <w:rsid w:val="00665256"/>
    <w:rsid w:val="00665296"/>
    <w:rsid w:val="00665C35"/>
    <w:rsid w:val="00666B2A"/>
    <w:rsid w:val="0067443A"/>
    <w:rsid w:val="0068078E"/>
    <w:rsid w:val="0068376E"/>
    <w:rsid w:val="00683C0F"/>
    <w:rsid w:val="00684E5C"/>
    <w:rsid w:val="0068731A"/>
    <w:rsid w:val="00687D11"/>
    <w:rsid w:val="006955AB"/>
    <w:rsid w:val="00696D26"/>
    <w:rsid w:val="006A0105"/>
    <w:rsid w:val="006A671D"/>
    <w:rsid w:val="006B0ABE"/>
    <w:rsid w:val="006B5EB6"/>
    <w:rsid w:val="006C2316"/>
    <w:rsid w:val="006C4C93"/>
    <w:rsid w:val="006D2BB4"/>
    <w:rsid w:val="006D5437"/>
    <w:rsid w:val="006D611A"/>
    <w:rsid w:val="006E1BD3"/>
    <w:rsid w:val="006E6A9B"/>
    <w:rsid w:val="006F11E9"/>
    <w:rsid w:val="006F62E0"/>
    <w:rsid w:val="006F7FB0"/>
    <w:rsid w:val="00704B0A"/>
    <w:rsid w:val="007050D6"/>
    <w:rsid w:val="007071FF"/>
    <w:rsid w:val="00707A4D"/>
    <w:rsid w:val="00707CCC"/>
    <w:rsid w:val="00712EE0"/>
    <w:rsid w:val="007154C4"/>
    <w:rsid w:val="00717DE6"/>
    <w:rsid w:val="007211B2"/>
    <w:rsid w:val="00724EC9"/>
    <w:rsid w:val="00735DDD"/>
    <w:rsid w:val="0074040F"/>
    <w:rsid w:val="007428C1"/>
    <w:rsid w:val="00744A79"/>
    <w:rsid w:val="00746D10"/>
    <w:rsid w:val="00756F3E"/>
    <w:rsid w:val="0075718A"/>
    <w:rsid w:val="00760956"/>
    <w:rsid w:val="007636E7"/>
    <w:rsid w:val="007765B6"/>
    <w:rsid w:val="00783BD0"/>
    <w:rsid w:val="0078405B"/>
    <w:rsid w:val="00784143"/>
    <w:rsid w:val="007947AC"/>
    <w:rsid w:val="0079515D"/>
    <w:rsid w:val="007964CD"/>
    <w:rsid w:val="00797D6A"/>
    <w:rsid w:val="007A1BD8"/>
    <w:rsid w:val="007A790E"/>
    <w:rsid w:val="007B1FD8"/>
    <w:rsid w:val="007B2962"/>
    <w:rsid w:val="007B3BA6"/>
    <w:rsid w:val="007B5591"/>
    <w:rsid w:val="007B60C4"/>
    <w:rsid w:val="007C2B25"/>
    <w:rsid w:val="007C3351"/>
    <w:rsid w:val="007C3AB5"/>
    <w:rsid w:val="007C4210"/>
    <w:rsid w:val="007C4BD2"/>
    <w:rsid w:val="007C73AC"/>
    <w:rsid w:val="007C7B46"/>
    <w:rsid w:val="007D072E"/>
    <w:rsid w:val="007D4BA3"/>
    <w:rsid w:val="007E0E68"/>
    <w:rsid w:val="007E309B"/>
    <w:rsid w:val="007E30C7"/>
    <w:rsid w:val="007E6575"/>
    <w:rsid w:val="007E65F0"/>
    <w:rsid w:val="007F0273"/>
    <w:rsid w:val="007F2216"/>
    <w:rsid w:val="007F4B10"/>
    <w:rsid w:val="007F4E83"/>
    <w:rsid w:val="007F5EC4"/>
    <w:rsid w:val="007F64BE"/>
    <w:rsid w:val="00800492"/>
    <w:rsid w:val="008027C1"/>
    <w:rsid w:val="00802FBE"/>
    <w:rsid w:val="00803348"/>
    <w:rsid w:val="00804286"/>
    <w:rsid w:val="00804D7F"/>
    <w:rsid w:val="00812DFF"/>
    <w:rsid w:val="00815C8F"/>
    <w:rsid w:val="00831881"/>
    <w:rsid w:val="008337ED"/>
    <w:rsid w:val="00840860"/>
    <w:rsid w:val="008458F7"/>
    <w:rsid w:val="00846436"/>
    <w:rsid w:val="00857F68"/>
    <w:rsid w:val="0086056F"/>
    <w:rsid w:val="00862F5B"/>
    <w:rsid w:val="00870A71"/>
    <w:rsid w:val="00870C2D"/>
    <w:rsid w:val="00874765"/>
    <w:rsid w:val="008770B5"/>
    <w:rsid w:val="00877E95"/>
    <w:rsid w:val="008817F0"/>
    <w:rsid w:val="00882EF9"/>
    <w:rsid w:val="0089495C"/>
    <w:rsid w:val="00894E32"/>
    <w:rsid w:val="008A59D0"/>
    <w:rsid w:val="008B1ABC"/>
    <w:rsid w:val="008B5211"/>
    <w:rsid w:val="008C1E46"/>
    <w:rsid w:val="008C62B3"/>
    <w:rsid w:val="008C7667"/>
    <w:rsid w:val="008D07AF"/>
    <w:rsid w:val="008D60C6"/>
    <w:rsid w:val="008E0995"/>
    <w:rsid w:val="008E1BED"/>
    <w:rsid w:val="008E2E82"/>
    <w:rsid w:val="008E487B"/>
    <w:rsid w:val="008E6E3E"/>
    <w:rsid w:val="008E719B"/>
    <w:rsid w:val="008F2F6C"/>
    <w:rsid w:val="00900953"/>
    <w:rsid w:val="00900BBD"/>
    <w:rsid w:val="00905909"/>
    <w:rsid w:val="00907AA9"/>
    <w:rsid w:val="00911062"/>
    <w:rsid w:val="00912108"/>
    <w:rsid w:val="009126B1"/>
    <w:rsid w:val="00916A73"/>
    <w:rsid w:val="00916EED"/>
    <w:rsid w:val="009209FD"/>
    <w:rsid w:val="009219BA"/>
    <w:rsid w:val="00923085"/>
    <w:rsid w:val="009240F3"/>
    <w:rsid w:val="00924F7A"/>
    <w:rsid w:val="00926861"/>
    <w:rsid w:val="00931AD7"/>
    <w:rsid w:val="009355F6"/>
    <w:rsid w:val="009435E7"/>
    <w:rsid w:val="009450FE"/>
    <w:rsid w:val="00946615"/>
    <w:rsid w:val="00952402"/>
    <w:rsid w:val="00967365"/>
    <w:rsid w:val="00977539"/>
    <w:rsid w:val="00986E41"/>
    <w:rsid w:val="009911F1"/>
    <w:rsid w:val="00991C2A"/>
    <w:rsid w:val="00992082"/>
    <w:rsid w:val="00993F9D"/>
    <w:rsid w:val="00994FE0"/>
    <w:rsid w:val="009A12E8"/>
    <w:rsid w:val="009A28E6"/>
    <w:rsid w:val="009A65D1"/>
    <w:rsid w:val="009B0CEE"/>
    <w:rsid w:val="009B1DF0"/>
    <w:rsid w:val="009B32F6"/>
    <w:rsid w:val="009B3FB0"/>
    <w:rsid w:val="009B48DC"/>
    <w:rsid w:val="009B5733"/>
    <w:rsid w:val="009C49AD"/>
    <w:rsid w:val="009D3F6E"/>
    <w:rsid w:val="009D7703"/>
    <w:rsid w:val="009E0F8D"/>
    <w:rsid w:val="009E29F5"/>
    <w:rsid w:val="009E38EB"/>
    <w:rsid w:val="009E685D"/>
    <w:rsid w:val="009E692D"/>
    <w:rsid w:val="009F6D07"/>
    <w:rsid w:val="009F7A9B"/>
    <w:rsid w:val="00A00738"/>
    <w:rsid w:val="00A0263A"/>
    <w:rsid w:val="00A02A06"/>
    <w:rsid w:val="00A03786"/>
    <w:rsid w:val="00A05322"/>
    <w:rsid w:val="00A071F8"/>
    <w:rsid w:val="00A072B5"/>
    <w:rsid w:val="00A07C37"/>
    <w:rsid w:val="00A2066E"/>
    <w:rsid w:val="00A24163"/>
    <w:rsid w:val="00A246C6"/>
    <w:rsid w:val="00A25049"/>
    <w:rsid w:val="00A27531"/>
    <w:rsid w:val="00A31140"/>
    <w:rsid w:val="00A34683"/>
    <w:rsid w:val="00A41258"/>
    <w:rsid w:val="00A414B0"/>
    <w:rsid w:val="00A42B37"/>
    <w:rsid w:val="00A42C4F"/>
    <w:rsid w:val="00A437A2"/>
    <w:rsid w:val="00A443F2"/>
    <w:rsid w:val="00A45B51"/>
    <w:rsid w:val="00A46381"/>
    <w:rsid w:val="00A47C03"/>
    <w:rsid w:val="00A5019E"/>
    <w:rsid w:val="00A5105E"/>
    <w:rsid w:val="00A5356C"/>
    <w:rsid w:val="00A53CD4"/>
    <w:rsid w:val="00A554D3"/>
    <w:rsid w:val="00A57284"/>
    <w:rsid w:val="00A72991"/>
    <w:rsid w:val="00A814FE"/>
    <w:rsid w:val="00A82F96"/>
    <w:rsid w:val="00A83147"/>
    <w:rsid w:val="00A83339"/>
    <w:rsid w:val="00A901DE"/>
    <w:rsid w:val="00A925CD"/>
    <w:rsid w:val="00A95B4E"/>
    <w:rsid w:val="00A97CB4"/>
    <w:rsid w:val="00AA6A5D"/>
    <w:rsid w:val="00AA76BA"/>
    <w:rsid w:val="00AB074C"/>
    <w:rsid w:val="00AB2D84"/>
    <w:rsid w:val="00AB34A3"/>
    <w:rsid w:val="00AB37AE"/>
    <w:rsid w:val="00AC4520"/>
    <w:rsid w:val="00AC70D6"/>
    <w:rsid w:val="00AD7398"/>
    <w:rsid w:val="00AE3089"/>
    <w:rsid w:val="00AF2EBC"/>
    <w:rsid w:val="00AF31F9"/>
    <w:rsid w:val="00AF4BA5"/>
    <w:rsid w:val="00AF6850"/>
    <w:rsid w:val="00B03B36"/>
    <w:rsid w:val="00B05AC0"/>
    <w:rsid w:val="00B16037"/>
    <w:rsid w:val="00B207A0"/>
    <w:rsid w:val="00B21977"/>
    <w:rsid w:val="00B21E88"/>
    <w:rsid w:val="00B234C7"/>
    <w:rsid w:val="00B23687"/>
    <w:rsid w:val="00B30BDB"/>
    <w:rsid w:val="00B369B8"/>
    <w:rsid w:val="00B36C81"/>
    <w:rsid w:val="00B40E52"/>
    <w:rsid w:val="00B447BD"/>
    <w:rsid w:val="00B46F0F"/>
    <w:rsid w:val="00B512D9"/>
    <w:rsid w:val="00B56ADA"/>
    <w:rsid w:val="00B628D3"/>
    <w:rsid w:val="00B67796"/>
    <w:rsid w:val="00B7188A"/>
    <w:rsid w:val="00B72519"/>
    <w:rsid w:val="00B7528D"/>
    <w:rsid w:val="00B76487"/>
    <w:rsid w:val="00B80229"/>
    <w:rsid w:val="00B82037"/>
    <w:rsid w:val="00B82DE6"/>
    <w:rsid w:val="00B839CE"/>
    <w:rsid w:val="00B83C18"/>
    <w:rsid w:val="00B83DEE"/>
    <w:rsid w:val="00B850D0"/>
    <w:rsid w:val="00B85D60"/>
    <w:rsid w:val="00B86D2A"/>
    <w:rsid w:val="00B9056A"/>
    <w:rsid w:val="00BA0389"/>
    <w:rsid w:val="00BB1FBE"/>
    <w:rsid w:val="00BB3899"/>
    <w:rsid w:val="00BC3829"/>
    <w:rsid w:val="00BC5E98"/>
    <w:rsid w:val="00BC6880"/>
    <w:rsid w:val="00BD0724"/>
    <w:rsid w:val="00BD2DAA"/>
    <w:rsid w:val="00BD36E3"/>
    <w:rsid w:val="00BD3F87"/>
    <w:rsid w:val="00BD7502"/>
    <w:rsid w:val="00BE0217"/>
    <w:rsid w:val="00BE4E60"/>
    <w:rsid w:val="00BF437B"/>
    <w:rsid w:val="00BF48FA"/>
    <w:rsid w:val="00BF78CD"/>
    <w:rsid w:val="00C01B31"/>
    <w:rsid w:val="00C02DFD"/>
    <w:rsid w:val="00C03E56"/>
    <w:rsid w:val="00C128AA"/>
    <w:rsid w:val="00C130B1"/>
    <w:rsid w:val="00C15216"/>
    <w:rsid w:val="00C17DF5"/>
    <w:rsid w:val="00C21CF6"/>
    <w:rsid w:val="00C26F4A"/>
    <w:rsid w:val="00C31684"/>
    <w:rsid w:val="00C32202"/>
    <w:rsid w:val="00C33E50"/>
    <w:rsid w:val="00C35D89"/>
    <w:rsid w:val="00C36534"/>
    <w:rsid w:val="00C36BF5"/>
    <w:rsid w:val="00C40FD8"/>
    <w:rsid w:val="00C41950"/>
    <w:rsid w:val="00C429EA"/>
    <w:rsid w:val="00C43C39"/>
    <w:rsid w:val="00C47B72"/>
    <w:rsid w:val="00C56E01"/>
    <w:rsid w:val="00C60305"/>
    <w:rsid w:val="00C62E1F"/>
    <w:rsid w:val="00C63F4F"/>
    <w:rsid w:val="00C670DB"/>
    <w:rsid w:val="00C70B16"/>
    <w:rsid w:val="00C7114D"/>
    <w:rsid w:val="00C721EA"/>
    <w:rsid w:val="00C744E4"/>
    <w:rsid w:val="00C759E4"/>
    <w:rsid w:val="00C75A6A"/>
    <w:rsid w:val="00C8052F"/>
    <w:rsid w:val="00C8279B"/>
    <w:rsid w:val="00C83105"/>
    <w:rsid w:val="00C94C37"/>
    <w:rsid w:val="00C96EAA"/>
    <w:rsid w:val="00C97611"/>
    <w:rsid w:val="00CA0C4E"/>
    <w:rsid w:val="00CA2529"/>
    <w:rsid w:val="00CA27AE"/>
    <w:rsid w:val="00CA46D2"/>
    <w:rsid w:val="00CA5F73"/>
    <w:rsid w:val="00CB4E48"/>
    <w:rsid w:val="00CB7915"/>
    <w:rsid w:val="00CC1271"/>
    <w:rsid w:val="00CC3340"/>
    <w:rsid w:val="00CC5D68"/>
    <w:rsid w:val="00CC5E79"/>
    <w:rsid w:val="00CC780F"/>
    <w:rsid w:val="00CC7C87"/>
    <w:rsid w:val="00CD2685"/>
    <w:rsid w:val="00CD3FCD"/>
    <w:rsid w:val="00CE177A"/>
    <w:rsid w:val="00CE2844"/>
    <w:rsid w:val="00CE4142"/>
    <w:rsid w:val="00CE63A4"/>
    <w:rsid w:val="00CF1389"/>
    <w:rsid w:val="00CF2B08"/>
    <w:rsid w:val="00CF7AA6"/>
    <w:rsid w:val="00D01141"/>
    <w:rsid w:val="00D0163E"/>
    <w:rsid w:val="00D036B4"/>
    <w:rsid w:val="00D046CD"/>
    <w:rsid w:val="00D078B8"/>
    <w:rsid w:val="00D10EB2"/>
    <w:rsid w:val="00D129C3"/>
    <w:rsid w:val="00D13B8A"/>
    <w:rsid w:val="00D15A6E"/>
    <w:rsid w:val="00D16F22"/>
    <w:rsid w:val="00D176DE"/>
    <w:rsid w:val="00D20661"/>
    <w:rsid w:val="00D227F3"/>
    <w:rsid w:val="00D23A94"/>
    <w:rsid w:val="00D26153"/>
    <w:rsid w:val="00D267AA"/>
    <w:rsid w:val="00D30E94"/>
    <w:rsid w:val="00D32EE1"/>
    <w:rsid w:val="00D3412F"/>
    <w:rsid w:val="00D370AE"/>
    <w:rsid w:val="00D37735"/>
    <w:rsid w:val="00D402BA"/>
    <w:rsid w:val="00D40735"/>
    <w:rsid w:val="00D428DA"/>
    <w:rsid w:val="00D4434A"/>
    <w:rsid w:val="00D45B14"/>
    <w:rsid w:val="00D46B4F"/>
    <w:rsid w:val="00D50152"/>
    <w:rsid w:val="00D507CA"/>
    <w:rsid w:val="00D51BCA"/>
    <w:rsid w:val="00D53394"/>
    <w:rsid w:val="00D64ABF"/>
    <w:rsid w:val="00D64CD9"/>
    <w:rsid w:val="00D64F02"/>
    <w:rsid w:val="00D74C77"/>
    <w:rsid w:val="00D81DAB"/>
    <w:rsid w:val="00D82B00"/>
    <w:rsid w:val="00D92F39"/>
    <w:rsid w:val="00D93CD0"/>
    <w:rsid w:val="00D94D14"/>
    <w:rsid w:val="00D96A0D"/>
    <w:rsid w:val="00D97F44"/>
    <w:rsid w:val="00DA4E51"/>
    <w:rsid w:val="00DA5FA3"/>
    <w:rsid w:val="00DA6DDE"/>
    <w:rsid w:val="00DA74B2"/>
    <w:rsid w:val="00DA774F"/>
    <w:rsid w:val="00DB10E9"/>
    <w:rsid w:val="00DC1070"/>
    <w:rsid w:val="00DC1BB7"/>
    <w:rsid w:val="00DC3E1B"/>
    <w:rsid w:val="00DC7CAB"/>
    <w:rsid w:val="00DD29C4"/>
    <w:rsid w:val="00DE3EE0"/>
    <w:rsid w:val="00DE5A64"/>
    <w:rsid w:val="00DE6B9E"/>
    <w:rsid w:val="00DF09F7"/>
    <w:rsid w:val="00DF154C"/>
    <w:rsid w:val="00DF2800"/>
    <w:rsid w:val="00DF6390"/>
    <w:rsid w:val="00E027CA"/>
    <w:rsid w:val="00E0310E"/>
    <w:rsid w:val="00E03EB0"/>
    <w:rsid w:val="00E07E71"/>
    <w:rsid w:val="00E111F6"/>
    <w:rsid w:val="00E153CC"/>
    <w:rsid w:val="00E15EC1"/>
    <w:rsid w:val="00E172CF"/>
    <w:rsid w:val="00E21301"/>
    <w:rsid w:val="00E21BF3"/>
    <w:rsid w:val="00E22A0C"/>
    <w:rsid w:val="00E22BC4"/>
    <w:rsid w:val="00E23B5A"/>
    <w:rsid w:val="00E23BB9"/>
    <w:rsid w:val="00E2538E"/>
    <w:rsid w:val="00E27B3D"/>
    <w:rsid w:val="00E27D21"/>
    <w:rsid w:val="00E317D4"/>
    <w:rsid w:val="00E34500"/>
    <w:rsid w:val="00E42585"/>
    <w:rsid w:val="00E43F90"/>
    <w:rsid w:val="00E4420C"/>
    <w:rsid w:val="00E4694C"/>
    <w:rsid w:val="00E46E5B"/>
    <w:rsid w:val="00E47C35"/>
    <w:rsid w:val="00E503E2"/>
    <w:rsid w:val="00E5089F"/>
    <w:rsid w:val="00E54EE4"/>
    <w:rsid w:val="00E5661C"/>
    <w:rsid w:val="00E61810"/>
    <w:rsid w:val="00E65AD5"/>
    <w:rsid w:val="00E65E84"/>
    <w:rsid w:val="00E70025"/>
    <w:rsid w:val="00E717D7"/>
    <w:rsid w:val="00E721EF"/>
    <w:rsid w:val="00E76DC2"/>
    <w:rsid w:val="00E814D1"/>
    <w:rsid w:val="00E82A2A"/>
    <w:rsid w:val="00E82FE9"/>
    <w:rsid w:val="00E84830"/>
    <w:rsid w:val="00E84E07"/>
    <w:rsid w:val="00E91D3B"/>
    <w:rsid w:val="00E97D30"/>
    <w:rsid w:val="00EA1FA8"/>
    <w:rsid w:val="00EA6D75"/>
    <w:rsid w:val="00EB1432"/>
    <w:rsid w:val="00EB2525"/>
    <w:rsid w:val="00EB35E6"/>
    <w:rsid w:val="00EB3C93"/>
    <w:rsid w:val="00EB4C6D"/>
    <w:rsid w:val="00EB73DC"/>
    <w:rsid w:val="00EC7054"/>
    <w:rsid w:val="00ED3C77"/>
    <w:rsid w:val="00ED5D79"/>
    <w:rsid w:val="00ED617A"/>
    <w:rsid w:val="00ED7F53"/>
    <w:rsid w:val="00EF12DE"/>
    <w:rsid w:val="00EF1BE0"/>
    <w:rsid w:val="00EF4DE0"/>
    <w:rsid w:val="00EF5C98"/>
    <w:rsid w:val="00EF66CC"/>
    <w:rsid w:val="00F0060C"/>
    <w:rsid w:val="00F009B5"/>
    <w:rsid w:val="00F00B29"/>
    <w:rsid w:val="00F0269B"/>
    <w:rsid w:val="00F03F97"/>
    <w:rsid w:val="00F10873"/>
    <w:rsid w:val="00F15447"/>
    <w:rsid w:val="00F16647"/>
    <w:rsid w:val="00F23127"/>
    <w:rsid w:val="00F26008"/>
    <w:rsid w:val="00F26486"/>
    <w:rsid w:val="00F30757"/>
    <w:rsid w:val="00F3330C"/>
    <w:rsid w:val="00F373F4"/>
    <w:rsid w:val="00F4170D"/>
    <w:rsid w:val="00F479D4"/>
    <w:rsid w:val="00F508F9"/>
    <w:rsid w:val="00F51024"/>
    <w:rsid w:val="00F539BA"/>
    <w:rsid w:val="00F56F3B"/>
    <w:rsid w:val="00F57725"/>
    <w:rsid w:val="00F636DD"/>
    <w:rsid w:val="00F639A7"/>
    <w:rsid w:val="00F63C17"/>
    <w:rsid w:val="00F641D2"/>
    <w:rsid w:val="00F64FFC"/>
    <w:rsid w:val="00F6606F"/>
    <w:rsid w:val="00F7127B"/>
    <w:rsid w:val="00F72CB6"/>
    <w:rsid w:val="00F77620"/>
    <w:rsid w:val="00F819EE"/>
    <w:rsid w:val="00F821F8"/>
    <w:rsid w:val="00F830D0"/>
    <w:rsid w:val="00F84A32"/>
    <w:rsid w:val="00F84BB5"/>
    <w:rsid w:val="00F86B96"/>
    <w:rsid w:val="00F86EA6"/>
    <w:rsid w:val="00F96076"/>
    <w:rsid w:val="00F97B3B"/>
    <w:rsid w:val="00FB34A9"/>
    <w:rsid w:val="00FB3E15"/>
    <w:rsid w:val="00FB66C4"/>
    <w:rsid w:val="00FC157B"/>
    <w:rsid w:val="00FC1ABC"/>
    <w:rsid w:val="00FC398A"/>
    <w:rsid w:val="00FC4CCF"/>
    <w:rsid w:val="00FC51AB"/>
    <w:rsid w:val="00FD3353"/>
    <w:rsid w:val="00FD4411"/>
    <w:rsid w:val="00FE1959"/>
    <w:rsid w:val="00FE2518"/>
    <w:rsid w:val="00FE303B"/>
    <w:rsid w:val="00FE3E9C"/>
    <w:rsid w:val="00FE5227"/>
    <w:rsid w:val="00FF1738"/>
    <w:rsid w:val="00FF1F27"/>
    <w:rsid w:val="00FF29D5"/>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258D3"/>
  <w15:chartTrackingRefBased/>
  <w15:docId w15:val="{487EAA98-2943-4C42-BFE0-7F2FBAB8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0F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4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D6D"/>
    <w:rPr>
      <w:kern w:val="0"/>
      <w14:ligatures w14:val="none"/>
    </w:rPr>
  </w:style>
  <w:style w:type="paragraph" w:styleId="Footer">
    <w:name w:val="footer"/>
    <w:basedOn w:val="Normal"/>
    <w:link w:val="FooterChar"/>
    <w:uiPriority w:val="99"/>
    <w:unhideWhenUsed/>
    <w:rsid w:val="00162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D6D"/>
    <w:rPr>
      <w:kern w:val="0"/>
      <w14:ligatures w14:val="none"/>
    </w:rPr>
  </w:style>
  <w:style w:type="paragraph" w:styleId="FootnoteText">
    <w:name w:val="footnote text"/>
    <w:basedOn w:val="Normal"/>
    <w:link w:val="FootnoteTextChar"/>
    <w:uiPriority w:val="99"/>
    <w:semiHidden/>
    <w:unhideWhenUsed/>
    <w:rsid w:val="00704B0A"/>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704B0A"/>
    <w:rPr>
      <w:kern w:val="0"/>
      <w:sz w:val="20"/>
      <w:szCs w:val="20"/>
      <w:lang w:val="en-US"/>
      <w14:ligatures w14:val="none"/>
    </w:rPr>
  </w:style>
  <w:style w:type="character" w:styleId="FootnoteReference">
    <w:name w:val="footnote reference"/>
    <w:basedOn w:val="DefaultParagraphFont"/>
    <w:uiPriority w:val="99"/>
    <w:semiHidden/>
    <w:unhideWhenUsed/>
    <w:rsid w:val="00704B0A"/>
    <w:rPr>
      <w:vertAlign w:val="superscript"/>
    </w:rPr>
  </w:style>
  <w:style w:type="paragraph" w:styleId="ListParagraph">
    <w:name w:val="List Paragraph"/>
    <w:basedOn w:val="Normal"/>
    <w:uiPriority w:val="34"/>
    <w:qFormat/>
    <w:rsid w:val="004E16EE"/>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1E05BB"/>
    <w:rPr>
      <w:sz w:val="16"/>
      <w:szCs w:val="16"/>
    </w:rPr>
  </w:style>
  <w:style w:type="paragraph" w:styleId="CommentText">
    <w:name w:val="annotation text"/>
    <w:basedOn w:val="Normal"/>
    <w:link w:val="CommentTextChar"/>
    <w:uiPriority w:val="99"/>
    <w:unhideWhenUsed/>
    <w:rsid w:val="001E05BB"/>
    <w:pPr>
      <w:spacing w:line="240" w:lineRule="auto"/>
    </w:pPr>
    <w:rPr>
      <w:sz w:val="20"/>
      <w:szCs w:val="20"/>
    </w:rPr>
  </w:style>
  <w:style w:type="character" w:customStyle="1" w:styleId="CommentTextChar">
    <w:name w:val="Comment Text Char"/>
    <w:basedOn w:val="DefaultParagraphFont"/>
    <w:link w:val="CommentText"/>
    <w:uiPriority w:val="99"/>
    <w:rsid w:val="001E05B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E05BB"/>
    <w:rPr>
      <w:b/>
      <w:bCs/>
    </w:rPr>
  </w:style>
  <w:style w:type="character" w:customStyle="1" w:styleId="CommentSubjectChar">
    <w:name w:val="Comment Subject Char"/>
    <w:basedOn w:val="CommentTextChar"/>
    <w:link w:val="CommentSubject"/>
    <w:uiPriority w:val="99"/>
    <w:semiHidden/>
    <w:rsid w:val="001E05BB"/>
    <w:rPr>
      <w:b/>
      <w:bCs/>
      <w:kern w:val="0"/>
      <w:sz w:val="20"/>
      <w:szCs w:val="20"/>
      <w14:ligatures w14:val="none"/>
    </w:rPr>
  </w:style>
  <w:style w:type="paragraph" w:customStyle="1" w:styleId="pf0">
    <w:name w:val="pf0"/>
    <w:basedOn w:val="Normal"/>
    <w:rsid w:val="00123B9B"/>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01">
    <w:name w:val="cf01"/>
    <w:basedOn w:val="DefaultParagraphFont"/>
    <w:rsid w:val="00123B9B"/>
    <w:rPr>
      <w:rFonts w:ascii="Segoe UI" w:hAnsi="Segoe UI" w:cs="Segoe UI" w:hint="default"/>
      <w:sz w:val="18"/>
      <w:szCs w:val="18"/>
    </w:rPr>
  </w:style>
  <w:style w:type="character" w:customStyle="1" w:styleId="A5">
    <w:name w:val="A5"/>
    <w:uiPriority w:val="99"/>
    <w:rsid w:val="00E84E07"/>
    <w:rPr>
      <w:rFonts w:cs="National 2"/>
      <w:color w:val="000000"/>
      <w:sz w:val="10"/>
      <w:szCs w:val="10"/>
    </w:rPr>
  </w:style>
  <w:style w:type="character" w:styleId="Hyperlink">
    <w:name w:val="Hyperlink"/>
    <w:basedOn w:val="DefaultParagraphFont"/>
    <w:uiPriority w:val="99"/>
    <w:unhideWhenUsed/>
    <w:rsid w:val="00F479D4"/>
    <w:rPr>
      <w:color w:val="0563C1" w:themeColor="hyperlink"/>
      <w:u w:val="single"/>
    </w:rPr>
  </w:style>
  <w:style w:type="character" w:styleId="UnresolvedMention">
    <w:name w:val="Unresolved Mention"/>
    <w:basedOn w:val="DefaultParagraphFont"/>
    <w:uiPriority w:val="99"/>
    <w:semiHidden/>
    <w:unhideWhenUsed/>
    <w:rsid w:val="00F479D4"/>
    <w:rPr>
      <w:color w:val="605E5C"/>
      <w:shd w:val="clear" w:color="auto" w:fill="E1DFDD"/>
    </w:rPr>
  </w:style>
  <w:style w:type="paragraph" w:styleId="EndnoteText">
    <w:name w:val="endnote text"/>
    <w:basedOn w:val="Normal"/>
    <w:link w:val="EndnoteTextChar"/>
    <w:uiPriority w:val="99"/>
    <w:semiHidden/>
    <w:unhideWhenUsed/>
    <w:rsid w:val="00F86B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6B96"/>
    <w:rPr>
      <w:kern w:val="0"/>
      <w:sz w:val="20"/>
      <w:szCs w:val="20"/>
      <w14:ligatures w14:val="none"/>
    </w:rPr>
  </w:style>
  <w:style w:type="character" w:styleId="EndnoteReference">
    <w:name w:val="endnote reference"/>
    <w:basedOn w:val="DefaultParagraphFont"/>
    <w:uiPriority w:val="99"/>
    <w:semiHidden/>
    <w:unhideWhenUsed/>
    <w:rsid w:val="00F86B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950201">
      <w:bodyDiv w:val="1"/>
      <w:marLeft w:val="0"/>
      <w:marRight w:val="0"/>
      <w:marTop w:val="0"/>
      <w:marBottom w:val="0"/>
      <w:divBdr>
        <w:top w:val="none" w:sz="0" w:space="0" w:color="auto"/>
        <w:left w:val="none" w:sz="0" w:space="0" w:color="auto"/>
        <w:bottom w:val="none" w:sz="0" w:space="0" w:color="auto"/>
        <w:right w:val="none" w:sz="0" w:space="0" w:color="auto"/>
      </w:divBdr>
    </w:div>
    <w:div w:id="837159068">
      <w:bodyDiv w:val="1"/>
      <w:marLeft w:val="0"/>
      <w:marRight w:val="0"/>
      <w:marTop w:val="0"/>
      <w:marBottom w:val="0"/>
      <w:divBdr>
        <w:top w:val="none" w:sz="0" w:space="0" w:color="auto"/>
        <w:left w:val="none" w:sz="0" w:space="0" w:color="auto"/>
        <w:bottom w:val="none" w:sz="0" w:space="0" w:color="auto"/>
        <w:right w:val="none" w:sz="0" w:space="0" w:color="auto"/>
      </w:divBdr>
    </w:div>
    <w:div w:id="1262302455">
      <w:bodyDiv w:val="1"/>
      <w:marLeft w:val="0"/>
      <w:marRight w:val="0"/>
      <w:marTop w:val="0"/>
      <w:marBottom w:val="0"/>
      <w:divBdr>
        <w:top w:val="none" w:sz="0" w:space="0" w:color="auto"/>
        <w:left w:val="none" w:sz="0" w:space="0" w:color="auto"/>
        <w:bottom w:val="none" w:sz="0" w:space="0" w:color="auto"/>
        <w:right w:val="none" w:sz="0" w:space="0" w:color="auto"/>
      </w:divBdr>
    </w:div>
    <w:div w:id="183549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https://aklcouncil.sharepoint.com/sites/ATEEDECD/Economic%20Transformation/Local%20Economic%20Knowledge%20Workstream/1.%20A3%20Economic%20Place%20Profiles/Emp%20data%20by%20KEP%20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aklcouncil.sharepoint.com/sites/ATEEDECD/Economic%20Transformation/Local%20Economic%20Knowledge%20Workstream/1.%20A3%20Economic%20Place%20Profiles/Emp%20data%20by%20KEP%20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aklcouncil.sharepoint.com/sites/ATEEDECD/Economic%20Transformation/Local%20Economic%20Knowledge%20Workstream/1.%20A3%20Economic%20Place%20Profiles/Emp%20data%20by%20KEP%202022.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https://aklcouncil.sharepoint.com/sites/ATEEDECD/Economic%20Transformation/Local%20Economic%20Knowledge%20Workstream/1.%20A3%20Economic%20Place%20Profiles/Emp%20data%20by%20KEP%202022.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2.xml"/></Relationships>
</file>

<file path=word/charts/_rels/chart5.xml.rels><?xml version="1.0" encoding="UTF-8" standalone="yes"?>
<Relationships xmlns="http://schemas.openxmlformats.org/package/2006/relationships"><Relationship Id="rId3" Type="http://schemas.openxmlformats.org/officeDocument/2006/relationships/oleObject" Target="https://aklcouncil.sharepoint.com/sites/ATEEDECD/Economic%20Transformation/Local%20Economic%20Knowledge%20Workstream/1.%20A3%20Economic%20Place%20Profiles/Emp%20data%20by%20KEP%202022.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3.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udworj1\Downloads\aefa91d5-4fe1-40f8-96b3-9b8ba1c6f77d.xls"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028401786357751"/>
          <c:y val="6.1332589908001119E-2"/>
          <c:w val="0.60511857048965456"/>
          <c:h val="0.81760030205312706"/>
        </c:manualLayout>
      </c:layout>
      <c:lineChart>
        <c:grouping val="standard"/>
        <c:varyColors val="0"/>
        <c:ser>
          <c:idx val="1"/>
          <c:order val="0"/>
          <c:tx>
            <c:strRef>
              <c:f>Region!$C$49</c:f>
              <c:strCache>
                <c:ptCount val="1"/>
                <c:pt idx="0">
                  <c:v>Prof, Scientific &amp; Tech Services</c:v>
                </c:pt>
              </c:strCache>
            </c:strRef>
          </c:tx>
          <c:spPr>
            <a:ln w="15875" cap="rnd">
              <a:solidFill>
                <a:schemeClr val="accent1">
                  <a:lumMod val="75000"/>
                </a:schemeClr>
              </a:solidFill>
              <a:round/>
            </a:ln>
            <a:effectLst/>
          </c:spPr>
          <c:marker>
            <c:symbol val="none"/>
          </c:marker>
          <c:cat>
            <c:numRef>
              <c:f>Region!$D$48:$X$48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Region!$D$49:$X$49</c:f>
              <c:numCache>
                <c:formatCode>General</c:formatCode>
                <c:ptCount val="21"/>
                <c:pt idx="0">
                  <c:v>47200</c:v>
                </c:pt>
                <c:pt idx="1">
                  <c:v>49700</c:v>
                </c:pt>
                <c:pt idx="2">
                  <c:v>52700</c:v>
                </c:pt>
                <c:pt idx="3">
                  <c:v>56600</c:v>
                </c:pt>
                <c:pt idx="4">
                  <c:v>61100</c:v>
                </c:pt>
                <c:pt idx="5">
                  <c:v>61200</c:v>
                </c:pt>
                <c:pt idx="6">
                  <c:v>64400</c:v>
                </c:pt>
                <c:pt idx="7">
                  <c:v>62600</c:v>
                </c:pt>
                <c:pt idx="8">
                  <c:v>59000</c:v>
                </c:pt>
                <c:pt idx="9">
                  <c:v>63600</c:v>
                </c:pt>
                <c:pt idx="10">
                  <c:v>64600</c:v>
                </c:pt>
                <c:pt idx="11">
                  <c:v>67000</c:v>
                </c:pt>
                <c:pt idx="12">
                  <c:v>71700</c:v>
                </c:pt>
                <c:pt idx="13">
                  <c:v>74100</c:v>
                </c:pt>
                <c:pt idx="14">
                  <c:v>76300</c:v>
                </c:pt>
                <c:pt idx="15">
                  <c:v>79700</c:v>
                </c:pt>
                <c:pt idx="16">
                  <c:v>82900</c:v>
                </c:pt>
                <c:pt idx="17">
                  <c:v>84300</c:v>
                </c:pt>
                <c:pt idx="18">
                  <c:v>86300</c:v>
                </c:pt>
                <c:pt idx="19">
                  <c:v>84700</c:v>
                </c:pt>
                <c:pt idx="20">
                  <c:v>92100</c:v>
                </c:pt>
              </c:numCache>
            </c:numRef>
          </c:val>
          <c:smooth val="0"/>
          <c:extLst>
            <c:ext xmlns:c16="http://schemas.microsoft.com/office/drawing/2014/chart" uri="{C3380CC4-5D6E-409C-BE32-E72D297353CC}">
              <c16:uniqueId val="{00000000-9E15-4157-8A66-D3DFF5FC3423}"/>
            </c:ext>
          </c:extLst>
        </c:ser>
        <c:ser>
          <c:idx val="2"/>
          <c:order val="1"/>
          <c:tx>
            <c:strRef>
              <c:f>Region!$C$50</c:f>
              <c:strCache>
                <c:ptCount val="1"/>
                <c:pt idx="0">
                  <c:v>Healthcare &amp; Social Assistance</c:v>
                </c:pt>
              </c:strCache>
            </c:strRef>
          </c:tx>
          <c:spPr>
            <a:ln w="15875" cap="rnd">
              <a:solidFill>
                <a:schemeClr val="accent3"/>
              </a:solidFill>
              <a:round/>
            </a:ln>
            <a:effectLst/>
          </c:spPr>
          <c:marker>
            <c:symbol val="none"/>
          </c:marker>
          <c:cat>
            <c:numRef>
              <c:f>Region!$D$48:$X$48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Region!$D$50:$X$50</c:f>
              <c:numCache>
                <c:formatCode>General</c:formatCode>
                <c:ptCount val="21"/>
                <c:pt idx="0">
                  <c:v>43600</c:v>
                </c:pt>
                <c:pt idx="1">
                  <c:v>44500</c:v>
                </c:pt>
                <c:pt idx="2">
                  <c:v>46000</c:v>
                </c:pt>
                <c:pt idx="3">
                  <c:v>47500</c:v>
                </c:pt>
                <c:pt idx="4">
                  <c:v>49200</c:v>
                </c:pt>
                <c:pt idx="5">
                  <c:v>51500</c:v>
                </c:pt>
                <c:pt idx="6">
                  <c:v>53100</c:v>
                </c:pt>
                <c:pt idx="7">
                  <c:v>56900</c:v>
                </c:pt>
                <c:pt idx="8">
                  <c:v>60800</c:v>
                </c:pt>
                <c:pt idx="9">
                  <c:v>61200</c:v>
                </c:pt>
                <c:pt idx="10">
                  <c:v>62700</c:v>
                </c:pt>
                <c:pt idx="11">
                  <c:v>64200</c:v>
                </c:pt>
                <c:pt idx="12">
                  <c:v>66600</c:v>
                </c:pt>
                <c:pt idx="13">
                  <c:v>68200</c:v>
                </c:pt>
                <c:pt idx="14">
                  <c:v>70200</c:v>
                </c:pt>
                <c:pt idx="15">
                  <c:v>70700</c:v>
                </c:pt>
                <c:pt idx="16">
                  <c:v>72300</c:v>
                </c:pt>
                <c:pt idx="17">
                  <c:v>75200</c:v>
                </c:pt>
                <c:pt idx="18">
                  <c:v>78000</c:v>
                </c:pt>
                <c:pt idx="19">
                  <c:v>81500</c:v>
                </c:pt>
                <c:pt idx="20">
                  <c:v>86100</c:v>
                </c:pt>
              </c:numCache>
            </c:numRef>
          </c:val>
          <c:smooth val="0"/>
          <c:extLst>
            <c:ext xmlns:c16="http://schemas.microsoft.com/office/drawing/2014/chart" uri="{C3380CC4-5D6E-409C-BE32-E72D297353CC}">
              <c16:uniqueId val="{00000001-9E15-4157-8A66-D3DFF5FC3423}"/>
            </c:ext>
          </c:extLst>
        </c:ser>
        <c:ser>
          <c:idx val="3"/>
          <c:order val="2"/>
          <c:tx>
            <c:strRef>
              <c:f>Region!$C$51</c:f>
              <c:strCache>
                <c:ptCount val="1"/>
                <c:pt idx="0">
                  <c:v>Retail Trade</c:v>
                </c:pt>
              </c:strCache>
            </c:strRef>
          </c:tx>
          <c:spPr>
            <a:ln w="15875" cap="rnd">
              <a:solidFill>
                <a:schemeClr val="accent4"/>
              </a:solidFill>
              <a:round/>
            </a:ln>
            <a:effectLst/>
          </c:spPr>
          <c:marker>
            <c:symbol val="none"/>
          </c:marker>
          <c:cat>
            <c:numRef>
              <c:f>Region!$D$48:$X$48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Region!$D$51:$X$51</c:f>
              <c:numCache>
                <c:formatCode>General</c:formatCode>
                <c:ptCount val="21"/>
                <c:pt idx="0">
                  <c:v>54300</c:v>
                </c:pt>
                <c:pt idx="1">
                  <c:v>55900</c:v>
                </c:pt>
                <c:pt idx="2">
                  <c:v>58300</c:v>
                </c:pt>
                <c:pt idx="3">
                  <c:v>60200</c:v>
                </c:pt>
                <c:pt idx="4">
                  <c:v>61500</c:v>
                </c:pt>
                <c:pt idx="5">
                  <c:v>63300</c:v>
                </c:pt>
                <c:pt idx="6">
                  <c:v>65300</c:v>
                </c:pt>
                <c:pt idx="7">
                  <c:v>60900</c:v>
                </c:pt>
                <c:pt idx="8">
                  <c:v>60100</c:v>
                </c:pt>
                <c:pt idx="9">
                  <c:v>59500</c:v>
                </c:pt>
                <c:pt idx="10">
                  <c:v>60700</c:v>
                </c:pt>
                <c:pt idx="11">
                  <c:v>62000</c:v>
                </c:pt>
                <c:pt idx="12">
                  <c:v>64100</c:v>
                </c:pt>
                <c:pt idx="13">
                  <c:v>66800</c:v>
                </c:pt>
                <c:pt idx="14">
                  <c:v>69800</c:v>
                </c:pt>
                <c:pt idx="15">
                  <c:v>73300</c:v>
                </c:pt>
                <c:pt idx="16">
                  <c:v>73500</c:v>
                </c:pt>
                <c:pt idx="17">
                  <c:v>74500</c:v>
                </c:pt>
                <c:pt idx="18">
                  <c:v>75800</c:v>
                </c:pt>
                <c:pt idx="19">
                  <c:v>76200</c:v>
                </c:pt>
                <c:pt idx="20">
                  <c:v>81400</c:v>
                </c:pt>
              </c:numCache>
            </c:numRef>
          </c:val>
          <c:smooth val="0"/>
          <c:extLst>
            <c:ext xmlns:c16="http://schemas.microsoft.com/office/drawing/2014/chart" uri="{C3380CC4-5D6E-409C-BE32-E72D297353CC}">
              <c16:uniqueId val="{00000002-9E15-4157-8A66-D3DFF5FC3423}"/>
            </c:ext>
          </c:extLst>
        </c:ser>
        <c:ser>
          <c:idx val="4"/>
          <c:order val="3"/>
          <c:tx>
            <c:strRef>
              <c:f>Region!$C$52</c:f>
              <c:strCache>
                <c:ptCount val="1"/>
                <c:pt idx="0">
                  <c:v>Manufacturing</c:v>
                </c:pt>
              </c:strCache>
            </c:strRef>
          </c:tx>
          <c:spPr>
            <a:ln w="15875" cap="rnd">
              <a:solidFill>
                <a:srgbClr val="1B384F"/>
              </a:solidFill>
              <a:round/>
            </a:ln>
            <a:effectLst/>
          </c:spPr>
          <c:marker>
            <c:symbol val="none"/>
          </c:marker>
          <c:cat>
            <c:numRef>
              <c:f>Region!$D$48:$X$48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Region!$D$52:$X$52</c:f>
              <c:numCache>
                <c:formatCode>General</c:formatCode>
                <c:ptCount val="21"/>
                <c:pt idx="0">
                  <c:v>80500</c:v>
                </c:pt>
                <c:pt idx="1">
                  <c:v>82800</c:v>
                </c:pt>
                <c:pt idx="2">
                  <c:v>84200</c:v>
                </c:pt>
                <c:pt idx="3">
                  <c:v>85300</c:v>
                </c:pt>
                <c:pt idx="4">
                  <c:v>83500</c:v>
                </c:pt>
                <c:pt idx="5">
                  <c:v>82500</c:v>
                </c:pt>
                <c:pt idx="6">
                  <c:v>81700</c:v>
                </c:pt>
                <c:pt idx="7">
                  <c:v>77200</c:v>
                </c:pt>
                <c:pt idx="8">
                  <c:v>73300</c:v>
                </c:pt>
                <c:pt idx="9">
                  <c:v>71900</c:v>
                </c:pt>
                <c:pt idx="10">
                  <c:v>71700</c:v>
                </c:pt>
                <c:pt idx="11">
                  <c:v>71500</c:v>
                </c:pt>
                <c:pt idx="12">
                  <c:v>71700</c:v>
                </c:pt>
                <c:pt idx="13">
                  <c:v>73400</c:v>
                </c:pt>
                <c:pt idx="14">
                  <c:v>75200</c:v>
                </c:pt>
                <c:pt idx="15">
                  <c:v>76000</c:v>
                </c:pt>
                <c:pt idx="16">
                  <c:v>77900</c:v>
                </c:pt>
                <c:pt idx="17">
                  <c:v>79200</c:v>
                </c:pt>
                <c:pt idx="18">
                  <c:v>80200</c:v>
                </c:pt>
                <c:pt idx="19">
                  <c:v>77500</c:v>
                </c:pt>
                <c:pt idx="20">
                  <c:v>79900</c:v>
                </c:pt>
              </c:numCache>
            </c:numRef>
          </c:val>
          <c:smooth val="0"/>
          <c:extLst>
            <c:ext xmlns:c16="http://schemas.microsoft.com/office/drawing/2014/chart" uri="{C3380CC4-5D6E-409C-BE32-E72D297353CC}">
              <c16:uniqueId val="{00000003-9E15-4157-8A66-D3DFF5FC3423}"/>
            </c:ext>
          </c:extLst>
        </c:ser>
        <c:ser>
          <c:idx val="5"/>
          <c:order val="4"/>
          <c:tx>
            <c:strRef>
              <c:f>Region!$C$53</c:f>
              <c:strCache>
                <c:ptCount val="1"/>
                <c:pt idx="0">
                  <c:v>Construction</c:v>
                </c:pt>
              </c:strCache>
            </c:strRef>
          </c:tx>
          <c:spPr>
            <a:ln w="19050" cap="rnd">
              <a:solidFill>
                <a:schemeClr val="accent6"/>
              </a:solidFill>
              <a:round/>
            </a:ln>
            <a:effectLst/>
          </c:spPr>
          <c:marker>
            <c:symbol val="none"/>
          </c:marker>
          <c:cat>
            <c:numRef>
              <c:f>Region!$D$48:$X$48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Region!$D$53:$X$53</c:f>
              <c:numCache>
                <c:formatCode>General</c:formatCode>
                <c:ptCount val="21"/>
                <c:pt idx="0">
                  <c:v>23700</c:v>
                </c:pt>
                <c:pt idx="1">
                  <c:v>26100</c:v>
                </c:pt>
                <c:pt idx="2">
                  <c:v>29200</c:v>
                </c:pt>
                <c:pt idx="3">
                  <c:v>33400</c:v>
                </c:pt>
                <c:pt idx="4">
                  <c:v>34900</c:v>
                </c:pt>
                <c:pt idx="5">
                  <c:v>36900</c:v>
                </c:pt>
                <c:pt idx="6">
                  <c:v>37800</c:v>
                </c:pt>
                <c:pt idx="7">
                  <c:v>34400</c:v>
                </c:pt>
                <c:pt idx="8">
                  <c:v>32700</c:v>
                </c:pt>
                <c:pt idx="9">
                  <c:v>33300</c:v>
                </c:pt>
                <c:pt idx="10">
                  <c:v>33700</c:v>
                </c:pt>
                <c:pt idx="11">
                  <c:v>34900</c:v>
                </c:pt>
                <c:pt idx="12">
                  <c:v>36900</c:v>
                </c:pt>
                <c:pt idx="13">
                  <c:v>40600</c:v>
                </c:pt>
                <c:pt idx="14">
                  <c:v>45100</c:v>
                </c:pt>
                <c:pt idx="15">
                  <c:v>51100</c:v>
                </c:pt>
                <c:pt idx="16">
                  <c:v>56100</c:v>
                </c:pt>
                <c:pt idx="17">
                  <c:v>59700</c:v>
                </c:pt>
                <c:pt idx="18">
                  <c:v>62700</c:v>
                </c:pt>
                <c:pt idx="19">
                  <c:v>65900</c:v>
                </c:pt>
                <c:pt idx="20">
                  <c:v>71700</c:v>
                </c:pt>
              </c:numCache>
            </c:numRef>
          </c:val>
          <c:smooth val="0"/>
          <c:extLst>
            <c:ext xmlns:c16="http://schemas.microsoft.com/office/drawing/2014/chart" uri="{C3380CC4-5D6E-409C-BE32-E72D297353CC}">
              <c16:uniqueId val="{00000004-9E15-4157-8A66-D3DFF5FC3423}"/>
            </c:ext>
          </c:extLst>
        </c:ser>
        <c:ser>
          <c:idx val="6"/>
          <c:order val="5"/>
          <c:tx>
            <c:strRef>
              <c:f>Region!$C$54</c:f>
              <c:strCache>
                <c:ptCount val="1"/>
                <c:pt idx="0">
                  <c:v>Education &amp; Training</c:v>
                </c:pt>
              </c:strCache>
            </c:strRef>
          </c:tx>
          <c:spPr>
            <a:ln w="15875" cap="rnd">
              <a:solidFill>
                <a:srgbClr val="00A6A7"/>
              </a:solidFill>
              <a:round/>
            </a:ln>
            <a:effectLst/>
          </c:spPr>
          <c:marker>
            <c:symbol val="none"/>
          </c:marker>
          <c:cat>
            <c:numRef>
              <c:f>Region!$D$48:$X$48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Region!$D$54:$X$54</c:f>
              <c:numCache>
                <c:formatCode>General</c:formatCode>
                <c:ptCount val="21"/>
                <c:pt idx="0">
                  <c:v>43100</c:v>
                </c:pt>
                <c:pt idx="1">
                  <c:v>46700</c:v>
                </c:pt>
                <c:pt idx="2">
                  <c:v>48600</c:v>
                </c:pt>
                <c:pt idx="3">
                  <c:v>49200</c:v>
                </c:pt>
                <c:pt idx="4">
                  <c:v>48500</c:v>
                </c:pt>
                <c:pt idx="5">
                  <c:v>51800</c:v>
                </c:pt>
                <c:pt idx="6">
                  <c:v>53000</c:v>
                </c:pt>
                <c:pt idx="7">
                  <c:v>52700</c:v>
                </c:pt>
                <c:pt idx="8">
                  <c:v>56200</c:v>
                </c:pt>
                <c:pt idx="9">
                  <c:v>56400</c:v>
                </c:pt>
                <c:pt idx="10">
                  <c:v>57400</c:v>
                </c:pt>
                <c:pt idx="11">
                  <c:v>55500</c:v>
                </c:pt>
                <c:pt idx="12">
                  <c:v>56700</c:v>
                </c:pt>
                <c:pt idx="13">
                  <c:v>58600</c:v>
                </c:pt>
                <c:pt idx="14">
                  <c:v>60600</c:v>
                </c:pt>
                <c:pt idx="15">
                  <c:v>62600</c:v>
                </c:pt>
                <c:pt idx="16">
                  <c:v>65100</c:v>
                </c:pt>
                <c:pt idx="17">
                  <c:v>66200</c:v>
                </c:pt>
                <c:pt idx="18">
                  <c:v>65400</c:v>
                </c:pt>
                <c:pt idx="19">
                  <c:v>65300</c:v>
                </c:pt>
                <c:pt idx="20">
                  <c:v>65000</c:v>
                </c:pt>
              </c:numCache>
            </c:numRef>
          </c:val>
          <c:smooth val="0"/>
          <c:extLst>
            <c:ext xmlns:c16="http://schemas.microsoft.com/office/drawing/2014/chart" uri="{C3380CC4-5D6E-409C-BE32-E72D297353CC}">
              <c16:uniqueId val="{00000005-9E15-4157-8A66-D3DFF5FC3423}"/>
            </c:ext>
          </c:extLst>
        </c:ser>
        <c:dLbls>
          <c:showLegendKey val="0"/>
          <c:showVal val="0"/>
          <c:showCatName val="0"/>
          <c:showSerName val="0"/>
          <c:showPercent val="0"/>
          <c:showBubbleSize val="0"/>
        </c:dLbls>
        <c:smooth val="0"/>
        <c:axId val="1055889648"/>
        <c:axId val="1055887128"/>
      </c:lineChart>
      <c:catAx>
        <c:axId val="1055889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National 2" panose="02000003000000000000" pitchFamily="50" charset="0"/>
                <a:ea typeface="+mn-ea"/>
                <a:cs typeface="+mn-cs"/>
              </a:defRPr>
            </a:pPr>
            <a:endParaRPr lang="en-US"/>
          </a:p>
        </c:txPr>
        <c:crossAx val="1055887128"/>
        <c:crosses val="autoZero"/>
        <c:auto val="1"/>
        <c:lblAlgn val="ctr"/>
        <c:lblOffset val="100"/>
        <c:tickLblSkip val="4"/>
        <c:noMultiLvlLbl val="0"/>
      </c:catAx>
      <c:valAx>
        <c:axId val="105588712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National 2" panose="02000003000000000000" pitchFamily="50" charset="0"/>
                <a:ea typeface="+mn-ea"/>
                <a:cs typeface="+mn-cs"/>
              </a:defRPr>
            </a:pPr>
            <a:endParaRPr lang="en-US"/>
          </a:p>
        </c:txPr>
        <c:crossAx val="1055889648"/>
        <c:crosses val="autoZero"/>
        <c:crossBetween val="between"/>
        <c:majorUnit val="20000"/>
      </c:valAx>
      <c:spPr>
        <a:noFill/>
        <a:ln>
          <a:noFill/>
        </a:ln>
        <a:effectLst/>
      </c:spPr>
    </c:plotArea>
    <c:legend>
      <c:legendPos val="l"/>
      <c:layout>
        <c:manualLayout>
          <c:xMode val="edge"/>
          <c:yMode val="edge"/>
          <c:x val="1.6670524368937518E-2"/>
          <c:y val="1.4847140483241095E-2"/>
          <c:w val="0.26028004249690223"/>
          <c:h val="0.98515285951675891"/>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National 2" panose="02000003000000000000" pitchFamily="50"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98841093391661"/>
          <c:y val="6.4572938068682126E-2"/>
          <c:w val="0.59898686027599513"/>
          <c:h val="0.80796368754463366"/>
        </c:manualLayout>
      </c:layout>
      <c:lineChart>
        <c:grouping val="standard"/>
        <c:varyColors val="0"/>
        <c:ser>
          <c:idx val="2"/>
          <c:order val="0"/>
          <c:tx>
            <c:strRef>
              <c:f>Region!$C$111</c:f>
              <c:strCache>
                <c:ptCount val="1"/>
                <c:pt idx="0">
                  <c:v>Wholesale Trade</c:v>
                </c:pt>
              </c:strCache>
            </c:strRef>
          </c:tx>
          <c:spPr>
            <a:ln w="19050" cap="rnd">
              <a:solidFill>
                <a:srgbClr val="1B384F"/>
              </a:solidFill>
              <a:round/>
            </a:ln>
            <a:effectLst/>
          </c:spPr>
          <c:marker>
            <c:symbol val="none"/>
          </c:marker>
          <c:cat>
            <c:numRef>
              <c:f>Region!$D$110:$X$110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Region!$D$111:$X$111</c:f>
              <c:numCache>
                <c:formatCode>General</c:formatCode>
                <c:ptCount val="21"/>
                <c:pt idx="0">
                  <c:v>49200</c:v>
                </c:pt>
                <c:pt idx="1">
                  <c:v>50300</c:v>
                </c:pt>
                <c:pt idx="2">
                  <c:v>51600</c:v>
                </c:pt>
                <c:pt idx="3">
                  <c:v>53000</c:v>
                </c:pt>
                <c:pt idx="4">
                  <c:v>54100</c:v>
                </c:pt>
                <c:pt idx="5">
                  <c:v>53500</c:v>
                </c:pt>
                <c:pt idx="6">
                  <c:v>55200</c:v>
                </c:pt>
                <c:pt idx="7">
                  <c:v>52800</c:v>
                </c:pt>
                <c:pt idx="8">
                  <c:v>51300</c:v>
                </c:pt>
                <c:pt idx="9">
                  <c:v>52600</c:v>
                </c:pt>
                <c:pt idx="10">
                  <c:v>53400</c:v>
                </c:pt>
                <c:pt idx="11">
                  <c:v>53500</c:v>
                </c:pt>
                <c:pt idx="12">
                  <c:v>54500</c:v>
                </c:pt>
                <c:pt idx="13">
                  <c:v>55200</c:v>
                </c:pt>
                <c:pt idx="14">
                  <c:v>55800</c:v>
                </c:pt>
                <c:pt idx="15">
                  <c:v>57300</c:v>
                </c:pt>
                <c:pt idx="16">
                  <c:v>59100</c:v>
                </c:pt>
                <c:pt idx="17">
                  <c:v>60100</c:v>
                </c:pt>
                <c:pt idx="18">
                  <c:v>59700</c:v>
                </c:pt>
                <c:pt idx="19">
                  <c:v>59500</c:v>
                </c:pt>
                <c:pt idx="20">
                  <c:v>61600</c:v>
                </c:pt>
              </c:numCache>
            </c:numRef>
          </c:val>
          <c:smooth val="0"/>
          <c:extLst>
            <c:ext xmlns:c16="http://schemas.microsoft.com/office/drawing/2014/chart" uri="{C3380CC4-5D6E-409C-BE32-E72D297353CC}">
              <c16:uniqueId val="{00000000-F5A1-474D-8EBC-CE2956966634}"/>
            </c:ext>
          </c:extLst>
        </c:ser>
        <c:ser>
          <c:idx val="3"/>
          <c:order val="1"/>
          <c:tx>
            <c:strRef>
              <c:f>Region!$C$112</c:f>
              <c:strCache>
                <c:ptCount val="1"/>
                <c:pt idx="0">
                  <c:v>Accom &amp; Food Services</c:v>
                </c:pt>
              </c:strCache>
            </c:strRef>
          </c:tx>
          <c:spPr>
            <a:ln w="19050" cap="rnd">
              <a:solidFill>
                <a:schemeClr val="accent4"/>
              </a:solidFill>
              <a:round/>
            </a:ln>
            <a:effectLst/>
          </c:spPr>
          <c:marker>
            <c:symbol val="none"/>
          </c:marker>
          <c:cat>
            <c:numRef>
              <c:f>Region!$D$110:$X$110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Region!$D$112:$X$112</c:f>
              <c:numCache>
                <c:formatCode>General</c:formatCode>
                <c:ptCount val="21"/>
                <c:pt idx="0">
                  <c:v>30300</c:v>
                </c:pt>
                <c:pt idx="1">
                  <c:v>32000</c:v>
                </c:pt>
                <c:pt idx="2">
                  <c:v>33800</c:v>
                </c:pt>
                <c:pt idx="3">
                  <c:v>34700</c:v>
                </c:pt>
                <c:pt idx="4">
                  <c:v>37600</c:v>
                </c:pt>
                <c:pt idx="5">
                  <c:v>38600</c:v>
                </c:pt>
                <c:pt idx="6">
                  <c:v>39700</c:v>
                </c:pt>
                <c:pt idx="7">
                  <c:v>37800</c:v>
                </c:pt>
                <c:pt idx="8">
                  <c:v>38300</c:v>
                </c:pt>
                <c:pt idx="9">
                  <c:v>40000</c:v>
                </c:pt>
                <c:pt idx="10">
                  <c:v>42600</c:v>
                </c:pt>
                <c:pt idx="11">
                  <c:v>43400</c:v>
                </c:pt>
                <c:pt idx="12">
                  <c:v>44900</c:v>
                </c:pt>
                <c:pt idx="13">
                  <c:v>48200</c:v>
                </c:pt>
                <c:pt idx="14">
                  <c:v>51900</c:v>
                </c:pt>
                <c:pt idx="15">
                  <c:v>56800</c:v>
                </c:pt>
                <c:pt idx="16">
                  <c:v>57500</c:v>
                </c:pt>
                <c:pt idx="17">
                  <c:v>58700</c:v>
                </c:pt>
                <c:pt idx="18">
                  <c:v>59200</c:v>
                </c:pt>
                <c:pt idx="19">
                  <c:v>55900</c:v>
                </c:pt>
                <c:pt idx="20">
                  <c:v>55400</c:v>
                </c:pt>
              </c:numCache>
            </c:numRef>
          </c:val>
          <c:smooth val="0"/>
          <c:extLst>
            <c:ext xmlns:c16="http://schemas.microsoft.com/office/drawing/2014/chart" uri="{C3380CC4-5D6E-409C-BE32-E72D297353CC}">
              <c16:uniqueId val="{00000001-F5A1-474D-8EBC-CE2956966634}"/>
            </c:ext>
          </c:extLst>
        </c:ser>
        <c:ser>
          <c:idx val="4"/>
          <c:order val="2"/>
          <c:tx>
            <c:strRef>
              <c:f>Region!$C$113</c:f>
              <c:strCache>
                <c:ptCount val="1"/>
                <c:pt idx="0">
                  <c:v>Admin &amp; Support Services</c:v>
                </c:pt>
              </c:strCache>
            </c:strRef>
          </c:tx>
          <c:spPr>
            <a:ln w="19050" cap="rnd">
              <a:solidFill>
                <a:schemeClr val="accent5"/>
              </a:solidFill>
              <a:round/>
            </a:ln>
            <a:effectLst/>
          </c:spPr>
          <c:marker>
            <c:symbol val="none"/>
          </c:marker>
          <c:cat>
            <c:numRef>
              <c:f>Region!$D$110:$X$110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Region!$D$113:$X$113</c:f>
              <c:numCache>
                <c:formatCode>General</c:formatCode>
                <c:ptCount val="21"/>
                <c:pt idx="0">
                  <c:v>31800</c:v>
                </c:pt>
                <c:pt idx="1">
                  <c:v>33700</c:v>
                </c:pt>
                <c:pt idx="2">
                  <c:v>37800</c:v>
                </c:pt>
                <c:pt idx="3">
                  <c:v>38100</c:v>
                </c:pt>
                <c:pt idx="4">
                  <c:v>38400</c:v>
                </c:pt>
                <c:pt idx="5">
                  <c:v>40200</c:v>
                </c:pt>
                <c:pt idx="6">
                  <c:v>40700</c:v>
                </c:pt>
                <c:pt idx="7">
                  <c:v>35100</c:v>
                </c:pt>
                <c:pt idx="8">
                  <c:v>34300</c:v>
                </c:pt>
                <c:pt idx="9">
                  <c:v>37300</c:v>
                </c:pt>
                <c:pt idx="10">
                  <c:v>39100</c:v>
                </c:pt>
                <c:pt idx="11">
                  <c:v>39000</c:v>
                </c:pt>
                <c:pt idx="12">
                  <c:v>40200</c:v>
                </c:pt>
                <c:pt idx="13">
                  <c:v>43300</c:v>
                </c:pt>
                <c:pt idx="14">
                  <c:v>46200</c:v>
                </c:pt>
                <c:pt idx="15">
                  <c:v>50600</c:v>
                </c:pt>
                <c:pt idx="16">
                  <c:v>52800</c:v>
                </c:pt>
                <c:pt idx="17">
                  <c:v>53800</c:v>
                </c:pt>
                <c:pt idx="18">
                  <c:v>55300</c:v>
                </c:pt>
                <c:pt idx="19">
                  <c:v>48800</c:v>
                </c:pt>
                <c:pt idx="20">
                  <c:v>49900</c:v>
                </c:pt>
              </c:numCache>
            </c:numRef>
          </c:val>
          <c:smooth val="0"/>
          <c:extLst>
            <c:ext xmlns:c16="http://schemas.microsoft.com/office/drawing/2014/chart" uri="{C3380CC4-5D6E-409C-BE32-E72D297353CC}">
              <c16:uniqueId val="{00000002-F5A1-474D-8EBC-CE2956966634}"/>
            </c:ext>
          </c:extLst>
        </c:ser>
        <c:ser>
          <c:idx val="5"/>
          <c:order val="3"/>
          <c:tx>
            <c:strRef>
              <c:f>Region!$C$114</c:f>
              <c:strCache>
                <c:ptCount val="1"/>
                <c:pt idx="0">
                  <c:v>Public Admin &amp; Safety</c:v>
                </c:pt>
              </c:strCache>
            </c:strRef>
          </c:tx>
          <c:spPr>
            <a:ln w="19050" cap="rnd">
              <a:solidFill>
                <a:schemeClr val="accent6"/>
              </a:solidFill>
              <a:round/>
            </a:ln>
            <a:effectLst/>
          </c:spPr>
          <c:marker>
            <c:symbol val="none"/>
          </c:marker>
          <c:cat>
            <c:numRef>
              <c:f>Region!$D$110:$X$110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Region!$D$114:$X$114</c:f>
              <c:numCache>
                <c:formatCode>General</c:formatCode>
                <c:ptCount val="21"/>
                <c:pt idx="0">
                  <c:v>21500</c:v>
                </c:pt>
                <c:pt idx="1">
                  <c:v>22100</c:v>
                </c:pt>
                <c:pt idx="2">
                  <c:v>22800</c:v>
                </c:pt>
                <c:pt idx="3">
                  <c:v>22900</c:v>
                </c:pt>
                <c:pt idx="4">
                  <c:v>23500</c:v>
                </c:pt>
                <c:pt idx="5">
                  <c:v>25100</c:v>
                </c:pt>
                <c:pt idx="6">
                  <c:v>26300</c:v>
                </c:pt>
                <c:pt idx="7">
                  <c:v>28400</c:v>
                </c:pt>
                <c:pt idx="8">
                  <c:v>28200</c:v>
                </c:pt>
                <c:pt idx="9">
                  <c:v>28700</c:v>
                </c:pt>
                <c:pt idx="10">
                  <c:v>29700</c:v>
                </c:pt>
                <c:pt idx="11">
                  <c:v>31200</c:v>
                </c:pt>
                <c:pt idx="12">
                  <c:v>31900</c:v>
                </c:pt>
                <c:pt idx="13">
                  <c:v>31800</c:v>
                </c:pt>
                <c:pt idx="14">
                  <c:v>32300</c:v>
                </c:pt>
                <c:pt idx="15">
                  <c:v>31700</c:v>
                </c:pt>
                <c:pt idx="16">
                  <c:v>32800</c:v>
                </c:pt>
                <c:pt idx="17">
                  <c:v>33900</c:v>
                </c:pt>
                <c:pt idx="18">
                  <c:v>36600</c:v>
                </c:pt>
                <c:pt idx="19">
                  <c:v>37400</c:v>
                </c:pt>
                <c:pt idx="20">
                  <c:v>38400</c:v>
                </c:pt>
              </c:numCache>
            </c:numRef>
          </c:val>
          <c:smooth val="0"/>
          <c:extLst>
            <c:ext xmlns:c16="http://schemas.microsoft.com/office/drawing/2014/chart" uri="{C3380CC4-5D6E-409C-BE32-E72D297353CC}">
              <c16:uniqueId val="{00000003-F5A1-474D-8EBC-CE2956966634}"/>
            </c:ext>
          </c:extLst>
        </c:ser>
        <c:ser>
          <c:idx val="6"/>
          <c:order val="4"/>
          <c:tx>
            <c:strRef>
              <c:f>Region!$C$115</c:f>
              <c:strCache>
                <c:ptCount val="1"/>
                <c:pt idx="0">
                  <c:v>Transport, Postal &amp; Warehousing</c:v>
                </c:pt>
              </c:strCache>
            </c:strRef>
          </c:tx>
          <c:spPr>
            <a:ln w="19050" cap="rnd">
              <a:solidFill>
                <a:srgbClr val="00A6A7"/>
              </a:solidFill>
              <a:round/>
            </a:ln>
            <a:effectLst/>
          </c:spPr>
          <c:marker>
            <c:symbol val="none"/>
          </c:marker>
          <c:cat>
            <c:numRef>
              <c:f>Region!$D$110:$X$110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Region!$D$115:$X$115</c:f>
              <c:numCache>
                <c:formatCode>General</c:formatCode>
                <c:ptCount val="21"/>
                <c:pt idx="0">
                  <c:v>28500</c:v>
                </c:pt>
                <c:pt idx="1">
                  <c:v>29200</c:v>
                </c:pt>
                <c:pt idx="2">
                  <c:v>30100</c:v>
                </c:pt>
                <c:pt idx="3">
                  <c:v>31500</c:v>
                </c:pt>
                <c:pt idx="4">
                  <c:v>32500</c:v>
                </c:pt>
                <c:pt idx="5">
                  <c:v>32000</c:v>
                </c:pt>
                <c:pt idx="6">
                  <c:v>34400</c:v>
                </c:pt>
                <c:pt idx="7">
                  <c:v>32600</c:v>
                </c:pt>
                <c:pt idx="8">
                  <c:v>31600</c:v>
                </c:pt>
                <c:pt idx="9">
                  <c:v>32000</c:v>
                </c:pt>
                <c:pt idx="10">
                  <c:v>32400</c:v>
                </c:pt>
                <c:pt idx="11">
                  <c:v>31800</c:v>
                </c:pt>
                <c:pt idx="12">
                  <c:v>32800</c:v>
                </c:pt>
                <c:pt idx="13">
                  <c:v>34000</c:v>
                </c:pt>
                <c:pt idx="14">
                  <c:v>35600</c:v>
                </c:pt>
                <c:pt idx="15">
                  <c:v>37000</c:v>
                </c:pt>
                <c:pt idx="16">
                  <c:v>38300</c:v>
                </c:pt>
                <c:pt idx="17">
                  <c:v>39700</c:v>
                </c:pt>
                <c:pt idx="18">
                  <c:v>39800</c:v>
                </c:pt>
                <c:pt idx="19">
                  <c:v>35300</c:v>
                </c:pt>
                <c:pt idx="20">
                  <c:v>37900</c:v>
                </c:pt>
              </c:numCache>
            </c:numRef>
          </c:val>
          <c:smooth val="0"/>
          <c:extLst>
            <c:ext xmlns:c16="http://schemas.microsoft.com/office/drawing/2014/chart" uri="{C3380CC4-5D6E-409C-BE32-E72D297353CC}">
              <c16:uniqueId val="{00000004-F5A1-474D-8EBC-CE2956966634}"/>
            </c:ext>
          </c:extLst>
        </c:ser>
        <c:ser>
          <c:idx val="0"/>
          <c:order val="5"/>
          <c:tx>
            <c:strRef>
              <c:f>Region!$C$116</c:f>
              <c:strCache>
                <c:ptCount val="1"/>
                <c:pt idx="0">
                  <c:v>Financial &amp; Insurance Services</c:v>
                </c:pt>
              </c:strCache>
            </c:strRef>
          </c:tx>
          <c:spPr>
            <a:ln w="19050" cap="rnd">
              <a:solidFill>
                <a:schemeClr val="accent1"/>
              </a:solidFill>
              <a:round/>
            </a:ln>
            <a:effectLst/>
          </c:spPr>
          <c:marker>
            <c:symbol val="none"/>
          </c:marker>
          <c:cat>
            <c:numRef>
              <c:f>Region!$D$110:$X$110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Region!$D$116:$X$116</c:f>
              <c:numCache>
                <c:formatCode>General</c:formatCode>
                <c:ptCount val="21"/>
                <c:pt idx="0">
                  <c:v>18800</c:v>
                </c:pt>
                <c:pt idx="1">
                  <c:v>19400</c:v>
                </c:pt>
                <c:pt idx="2">
                  <c:v>20500</c:v>
                </c:pt>
                <c:pt idx="3">
                  <c:v>21400</c:v>
                </c:pt>
                <c:pt idx="4">
                  <c:v>23200</c:v>
                </c:pt>
                <c:pt idx="5">
                  <c:v>24300</c:v>
                </c:pt>
                <c:pt idx="6">
                  <c:v>24500</c:v>
                </c:pt>
                <c:pt idx="7">
                  <c:v>24200</c:v>
                </c:pt>
                <c:pt idx="8">
                  <c:v>24500</c:v>
                </c:pt>
                <c:pt idx="9">
                  <c:v>24600</c:v>
                </c:pt>
                <c:pt idx="10">
                  <c:v>26800</c:v>
                </c:pt>
                <c:pt idx="11">
                  <c:v>27200</c:v>
                </c:pt>
                <c:pt idx="12">
                  <c:v>25900</c:v>
                </c:pt>
                <c:pt idx="13">
                  <c:v>27600</c:v>
                </c:pt>
                <c:pt idx="14">
                  <c:v>28000</c:v>
                </c:pt>
                <c:pt idx="15">
                  <c:v>29700</c:v>
                </c:pt>
                <c:pt idx="16">
                  <c:v>28700</c:v>
                </c:pt>
                <c:pt idx="17">
                  <c:v>29700</c:v>
                </c:pt>
                <c:pt idx="18">
                  <c:v>30300</c:v>
                </c:pt>
                <c:pt idx="19">
                  <c:v>31200</c:v>
                </c:pt>
                <c:pt idx="20">
                  <c:v>32900</c:v>
                </c:pt>
              </c:numCache>
            </c:numRef>
          </c:val>
          <c:smooth val="0"/>
          <c:extLst>
            <c:ext xmlns:c16="http://schemas.microsoft.com/office/drawing/2014/chart" uri="{C3380CC4-5D6E-409C-BE32-E72D297353CC}">
              <c16:uniqueId val="{00000005-F5A1-474D-8EBC-CE2956966634}"/>
            </c:ext>
          </c:extLst>
        </c:ser>
        <c:dLbls>
          <c:showLegendKey val="0"/>
          <c:showVal val="0"/>
          <c:showCatName val="0"/>
          <c:showSerName val="0"/>
          <c:showPercent val="0"/>
          <c:showBubbleSize val="0"/>
        </c:dLbls>
        <c:smooth val="0"/>
        <c:axId val="1055889648"/>
        <c:axId val="1055887128"/>
      </c:lineChart>
      <c:catAx>
        <c:axId val="1055889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National 2" panose="02000003000000000000" pitchFamily="50" charset="0"/>
                <a:ea typeface="+mn-ea"/>
                <a:cs typeface="+mn-cs"/>
              </a:defRPr>
            </a:pPr>
            <a:endParaRPr lang="en-US"/>
          </a:p>
        </c:txPr>
        <c:crossAx val="1055887128"/>
        <c:crosses val="autoZero"/>
        <c:auto val="1"/>
        <c:lblAlgn val="ctr"/>
        <c:lblOffset val="100"/>
        <c:tickLblSkip val="4"/>
        <c:noMultiLvlLbl val="0"/>
      </c:catAx>
      <c:valAx>
        <c:axId val="105588712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National 2" panose="02000003000000000000" pitchFamily="50" charset="0"/>
                <a:ea typeface="+mn-ea"/>
                <a:cs typeface="+mn-cs"/>
              </a:defRPr>
            </a:pPr>
            <a:endParaRPr lang="en-US"/>
          </a:p>
        </c:txPr>
        <c:crossAx val="1055889648"/>
        <c:crosses val="autoZero"/>
        <c:crossBetween val="between"/>
        <c:majorUnit val="20000"/>
      </c:valAx>
      <c:spPr>
        <a:noFill/>
        <a:ln>
          <a:noFill/>
        </a:ln>
        <a:effectLst/>
      </c:spPr>
    </c:plotArea>
    <c:legend>
      <c:legendPos val="l"/>
      <c:layout>
        <c:manualLayout>
          <c:xMode val="edge"/>
          <c:yMode val="edge"/>
          <c:x val="1.7572118904671256E-2"/>
          <c:y val="0"/>
          <c:w val="0.27288093967021143"/>
          <c:h val="1"/>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National 2" panose="02000003000000000000" pitchFamily="50"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v>Jobs</c:v>
          </c:tx>
          <c:spPr>
            <a:ln w="15875" cap="rnd">
              <a:solidFill>
                <a:srgbClr val="00A6A7"/>
              </a:solidFill>
              <a:round/>
            </a:ln>
            <a:effectLst/>
          </c:spPr>
          <c:marker>
            <c:symbol val="none"/>
          </c:marker>
          <c:cat>
            <c:numRef>
              <c:f>Region!$C$40:$W$40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Region!$C$41:$W$41</c:f>
              <c:numCache>
                <c:formatCode>General</c:formatCode>
                <c:ptCount val="21"/>
                <c:pt idx="0">
                  <c:v>535900</c:v>
                </c:pt>
                <c:pt idx="1">
                  <c:v>557900</c:v>
                </c:pt>
                <c:pt idx="2">
                  <c:v>582600</c:v>
                </c:pt>
                <c:pt idx="3">
                  <c:v>603900</c:v>
                </c:pt>
                <c:pt idx="4">
                  <c:v>618300</c:v>
                </c:pt>
                <c:pt idx="5">
                  <c:v>632900</c:v>
                </c:pt>
                <c:pt idx="6">
                  <c:v>649300</c:v>
                </c:pt>
                <c:pt idx="7">
                  <c:v>627100</c:v>
                </c:pt>
                <c:pt idx="8">
                  <c:v>619500</c:v>
                </c:pt>
                <c:pt idx="9">
                  <c:v>631100</c:v>
                </c:pt>
                <c:pt idx="10">
                  <c:v>646000</c:v>
                </c:pt>
                <c:pt idx="11">
                  <c:v>653800</c:v>
                </c:pt>
                <c:pt idx="12">
                  <c:v>672400</c:v>
                </c:pt>
                <c:pt idx="13">
                  <c:v>696900</c:v>
                </c:pt>
                <c:pt idx="14">
                  <c:v>724600</c:v>
                </c:pt>
                <c:pt idx="15">
                  <c:v>757400</c:v>
                </c:pt>
                <c:pt idx="16">
                  <c:v>780100</c:v>
                </c:pt>
                <c:pt idx="17">
                  <c:v>798900</c:v>
                </c:pt>
                <c:pt idx="18">
                  <c:v>813900</c:v>
                </c:pt>
                <c:pt idx="19">
                  <c:v>802300</c:v>
                </c:pt>
                <c:pt idx="20">
                  <c:v>836200</c:v>
                </c:pt>
              </c:numCache>
            </c:numRef>
          </c:val>
          <c:smooth val="0"/>
          <c:extLst>
            <c:ext xmlns:c16="http://schemas.microsoft.com/office/drawing/2014/chart" uri="{C3380CC4-5D6E-409C-BE32-E72D297353CC}">
              <c16:uniqueId val="{00000000-6CE4-45D5-8C62-FA144062F718}"/>
            </c:ext>
          </c:extLst>
        </c:ser>
        <c:dLbls>
          <c:showLegendKey val="0"/>
          <c:showVal val="0"/>
          <c:showCatName val="0"/>
          <c:showSerName val="0"/>
          <c:showPercent val="0"/>
          <c:showBubbleSize val="0"/>
        </c:dLbls>
        <c:marker val="1"/>
        <c:smooth val="0"/>
        <c:axId val="771380400"/>
        <c:axId val="771380760"/>
        <c:extLst/>
      </c:lineChart>
      <c:lineChart>
        <c:grouping val="standard"/>
        <c:varyColors val="0"/>
        <c:ser>
          <c:idx val="1"/>
          <c:order val="1"/>
          <c:tx>
            <c:v>Units (RHS)</c:v>
          </c:tx>
          <c:spPr>
            <a:ln w="15875" cap="rnd">
              <a:solidFill>
                <a:srgbClr val="1B384F"/>
              </a:solidFill>
              <a:round/>
            </a:ln>
            <a:effectLst/>
          </c:spPr>
          <c:marker>
            <c:symbol val="none"/>
          </c:marker>
          <c:cat>
            <c:numRef>
              <c:f>Region!$C$40:$W$40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Region!$C$42:$W$42</c:f>
              <c:numCache>
                <c:formatCode>General</c:formatCode>
                <c:ptCount val="21"/>
                <c:pt idx="0">
                  <c:v>121839</c:v>
                </c:pt>
                <c:pt idx="1">
                  <c:v>127983</c:v>
                </c:pt>
                <c:pt idx="2">
                  <c:v>142332</c:v>
                </c:pt>
                <c:pt idx="3">
                  <c:v>149604</c:v>
                </c:pt>
                <c:pt idx="4">
                  <c:v>154629</c:v>
                </c:pt>
                <c:pt idx="5">
                  <c:v>157770</c:v>
                </c:pt>
                <c:pt idx="6">
                  <c:v>161892</c:v>
                </c:pt>
                <c:pt idx="7">
                  <c:v>163353</c:v>
                </c:pt>
                <c:pt idx="8">
                  <c:v>161043</c:v>
                </c:pt>
                <c:pt idx="9">
                  <c:v>162834</c:v>
                </c:pt>
                <c:pt idx="10">
                  <c:v>163476</c:v>
                </c:pt>
                <c:pt idx="11">
                  <c:v>165576</c:v>
                </c:pt>
                <c:pt idx="12">
                  <c:v>173385</c:v>
                </c:pt>
                <c:pt idx="13">
                  <c:v>179517</c:v>
                </c:pt>
                <c:pt idx="14">
                  <c:v>186018</c:v>
                </c:pt>
                <c:pt idx="15">
                  <c:v>193854</c:v>
                </c:pt>
                <c:pt idx="16">
                  <c:v>197046</c:v>
                </c:pt>
                <c:pt idx="17">
                  <c:v>202119</c:v>
                </c:pt>
                <c:pt idx="18">
                  <c:v>207069</c:v>
                </c:pt>
                <c:pt idx="19">
                  <c:v>209523</c:v>
                </c:pt>
                <c:pt idx="20">
                  <c:v>220080</c:v>
                </c:pt>
              </c:numCache>
            </c:numRef>
          </c:val>
          <c:smooth val="0"/>
          <c:extLst>
            <c:ext xmlns:c16="http://schemas.microsoft.com/office/drawing/2014/chart" uri="{C3380CC4-5D6E-409C-BE32-E72D297353CC}">
              <c16:uniqueId val="{00000001-6CE4-45D5-8C62-FA144062F718}"/>
            </c:ext>
          </c:extLst>
        </c:ser>
        <c:dLbls>
          <c:showLegendKey val="0"/>
          <c:showVal val="0"/>
          <c:showCatName val="0"/>
          <c:showSerName val="0"/>
          <c:showPercent val="0"/>
          <c:showBubbleSize val="0"/>
        </c:dLbls>
        <c:marker val="1"/>
        <c:smooth val="0"/>
        <c:axId val="1052472424"/>
        <c:axId val="1052463064"/>
      </c:lineChart>
      <c:catAx>
        <c:axId val="771380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National 2" panose="02000003000000000000" pitchFamily="50" charset="0"/>
                <a:ea typeface="+mn-ea"/>
                <a:cs typeface="+mn-cs"/>
              </a:defRPr>
            </a:pPr>
            <a:endParaRPr lang="en-US"/>
          </a:p>
        </c:txPr>
        <c:crossAx val="771380760"/>
        <c:crosses val="autoZero"/>
        <c:auto val="1"/>
        <c:lblAlgn val="ctr"/>
        <c:lblOffset val="100"/>
        <c:tickLblSkip val="4"/>
        <c:noMultiLvlLbl val="0"/>
      </c:catAx>
      <c:valAx>
        <c:axId val="77138076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National 2" panose="02000003000000000000" pitchFamily="50" charset="0"/>
                <a:ea typeface="+mn-ea"/>
                <a:cs typeface="+mn-cs"/>
              </a:defRPr>
            </a:pPr>
            <a:endParaRPr lang="en-US"/>
          </a:p>
        </c:txPr>
        <c:crossAx val="771380400"/>
        <c:crosses val="autoZero"/>
        <c:crossBetween val="between"/>
        <c:majorUnit val="500000"/>
      </c:valAx>
      <c:valAx>
        <c:axId val="1052463064"/>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National 2" panose="02000003000000000000" pitchFamily="50" charset="0"/>
                <a:ea typeface="+mn-ea"/>
                <a:cs typeface="+mn-cs"/>
              </a:defRPr>
            </a:pPr>
            <a:endParaRPr lang="en-US"/>
          </a:p>
        </c:txPr>
        <c:crossAx val="1052472424"/>
        <c:crosses val="max"/>
        <c:crossBetween val="between"/>
      </c:valAx>
      <c:catAx>
        <c:axId val="1052472424"/>
        <c:scaling>
          <c:orientation val="minMax"/>
        </c:scaling>
        <c:delete val="1"/>
        <c:axPos val="b"/>
        <c:numFmt formatCode="General" sourceLinked="1"/>
        <c:majorTickMark val="out"/>
        <c:minorTickMark val="none"/>
        <c:tickLblPos val="nextTo"/>
        <c:crossAx val="1052463064"/>
        <c:crosses val="autoZero"/>
        <c:auto val="1"/>
        <c:lblAlgn val="ctr"/>
        <c:lblOffset val="100"/>
        <c:noMultiLvlLbl val="0"/>
      </c:catAx>
      <c:spPr>
        <a:noFill/>
        <a:ln>
          <a:noFill/>
        </a:ln>
        <a:effectLst/>
      </c:spPr>
    </c:plotArea>
    <c:legend>
      <c:legendPos val="t"/>
      <c:layout>
        <c:manualLayout>
          <c:xMode val="edge"/>
          <c:yMode val="edge"/>
          <c:x val="0.17931947958274821"/>
          <c:y val="2.7777777777777776E-2"/>
          <c:w val="0.65367815187590395"/>
          <c:h val="7.7053735339746285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National 2" panose="02000003000000000000" pitchFamily="50"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511859441858778E-2"/>
          <c:y val="0.40897170462387861"/>
          <c:w val="0.88125015887233926"/>
          <c:h val="0.37920149059865815"/>
        </c:manualLayout>
      </c:layout>
      <c:lineChart>
        <c:grouping val="standard"/>
        <c:varyColors val="0"/>
        <c:ser>
          <c:idx val="3"/>
          <c:order val="3"/>
          <c:tx>
            <c:strRef>
              <c:f>Region!$B$43</c:f>
              <c:strCache>
                <c:ptCount val="1"/>
                <c:pt idx="0">
                  <c:v>Auckland Region</c:v>
                </c:pt>
              </c:strCache>
            </c:strRef>
          </c:tx>
          <c:spPr>
            <a:ln w="15875" cap="rnd">
              <a:solidFill>
                <a:srgbClr val="00A6A7"/>
              </a:solidFill>
              <a:round/>
            </a:ln>
            <a:effectLst/>
          </c:spPr>
          <c:marker>
            <c:symbol val="none"/>
          </c:marker>
          <c:cat>
            <c:numRef>
              <c:f>Region!$C$40:$W$40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Region!$C$43:$W$43</c:f>
              <c:numCache>
                <c:formatCode>0.0</c:formatCode>
                <c:ptCount val="21"/>
                <c:pt idx="0">
                  <c:v>100</c:v>
                </c:pt>
                <c:pt idx="1">
                  <c:v>104.10524351558126</c:v>
                </c:pt>
                <c:pt idx="2">
                  <c:v>108.71431237171115</c:v>
                </c:pt>
                <c:pt idx="3">
                  <c:v>112.68893450270572</c:v>
                </c:pt>
                <c:pt idx="4">
                  <c:v>115.37600298563164</c:v>
                </c:pt>
                <c:pt idx="5">
                  <c:v>118.10039186415375</c:v>
                </c:pt>
                <c:pt idx="6">
                  <c:v>121.16066430304161</c:v>
                </c:pt>
                <c:pt idx="7">
                  <c:v>117.01810039186415</c:v>
                </c:pt>
                <c:pt idx="8">
                  <c:v>115.5999253592088</c:v>
                </c:pt>
                <c:pt idx="9">
                  <c:v>117.76450830378802</c:v>
                </c:pt>
                <c:pt idx="10">
                  <c:v>120.54487777570442</c:v>
                </c:pt>
                <c:pt idx="11">
                  <c:v>122.00037320395596</c:v>
                </c:pt>
                <c:pt idx="12">
                  <c:v>125.47116999440193</c:v>
                </c:pt>
                <c:pt idx="13">
                  <c:v>130.04291845493563</c:v>
                </c:pt>
                <c:pt idx="14">
                  <c:v>135.21179324500841</c:v>
                </c:pt>
                <c:pt idx="15">
                  <c:v>141.33233812278411</c:v>
                </c:pt>
                <c:pt idx="16">
                  <c:v>145.56820302295205</c:v>
                </c:pt>
                <c:pt idx="17">
                  <c:v>149.07632020899422</c:v>
                </c:pt>
                <c:pt idx="18">
                  <c:v>151.87534987870873</c:v>
                </c:pt>
                <c:pt idx="19">
                  <c:v>149.71076693412951</c:v>
                </c:pt>
                <c:pt idx="20">
                  <c:v>156.03657398768428</c:v>
                </c:pt>
              </c:numCache>
            </c:numRef>
          </c:val>
          <c:smooth val="0"/>
          <c:extLst xmlns:c15="http://schemas.microsoft.com/office/drawing/2012/chart">
            <c:ext xmlns:c16="http://schemas.microsoft.com/office/drawing/2014/chart" uri="{C3380CC4-5D6E-409C-BE32-E72D297353CC}">
              <c16:uniqueId val="{00000000-5F79-4482-A074-29978FF4275F}"/>
            </c:ext>
          </c:extLst>
        </c:ser>
        <c:ser>
          <c:idx val="6"/>
          <c:order val="6"/>
          <c:tx>
            <c:strRef>
              <c:f>Region!$B$46</c:f>
              <c:strCache>
                <c:ptCount val="1"/>
                <c:pt idx="0">
                  <c:v>New Zealand</c:v>
                </c:pt>
              </c:strCache>
            </c:strRef>
          </c:tx>
          <c:spPr>
            <a:ln w="15875" cap="rnd">
              <a:solidFill>
                <a:srgbClr val="000000"/>
              </a:solidFill>
              <a:round/>
            </a:ln>
            <a:effectLst/>
          </c:spPr>
          <c:marker>
            <c:symbol val="none"/>
          </c:marker>
          <c:cat>
            <c:numRef>
              <c:f>Region!$C$40:$W$40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Region!$C$46:$W$46</c:f>
              <c:numCache>
                <c:formatCode>0.0</c:formatCode>
                <c:ptCount val="21"/>
                <c:pt idx="0">
                  <c:v>100</c:v>
                </c:pt>
                <c:pt idx="1">
                  <c:v>103.25450853935267</c:v>
                </c:pt>
                <c:pt idx="2">
                  <c:v>107.54209960587605</c:v>
                </c:pt>
                <c:pt idx="3">
                  <c:v>111.2205899916398</c:v>
                </c:pt>
                <c:pt idx="4">
                  <c:v>113.30466977188583</c:v>
                </c:pt>
                <c:pt idx="5">
                  <c:v>115.71718619371791</c:v>
                </c:pt>
                <c:pt idx="6">
                  <c:v>118.54771288665951</c:v>
                </c:pt>
                <c:pt idx="7">
                  <c:v>115.5499820852741</c:v>
                </c:pt>
                <c:pt idx="8">
                  <c:v>113.94362832915323</c:v>
                </c:pt>
                <c:pt idx="9">
                  <c:v>114.49301325689719</c:v>
                </c:pt>
                <c:pt idx="10">
                  <c:v>115.52609578406783</c:v>
                </c:pt>
                <c:pt idx="11">
                  <c:v>116.42183207930252</c:v>
                </c:pt>
                <c:pt idx="12">
                  <c:v>119.66439746805206</c:v>
                </c:pt>
                <c:pt idx="13">
                  <c:v>122.65615669413592</c:v>
                </c:pt>
                <c:pt idx="14">
                  <c:v>125.82109160396513</c:v>
                </c:pt>
                <c:pt idx="15">
                  <c:v>129.36820733309446</c:v>
                </c:pt>
                <c:pt idx="16">
                  <c:v>133.63788367371313</c:v>
                </c:pt>
                <c:pt idx="17">
                  <c:v>136.74310283052668</c:v>
                </c:pt>
                <c:pt idx="18">
                  <c:v>139.29893705959634</c:v>
                </c:pt>
                <c:pt idx="19">
                  <c:v>138.22405350531471</c:v>
                </c:pt>
                <c:pt idx="20">
                  <c:v>142.90576854174131</c:v>
                </c:pt>
              </c:numCache>
            </c:numRef>
          </c:val>
          <c:smooth val="0"/>
          <c:extLst>
            <c:ext xmlns:c16="http://schemas.microsoft.com/office/drawing/2014/chart" uri="{C3380CC4-5D6E-409C-BE32-E72D297353CC}">
              <c16:uniqueId val="{00000001-5F79-4482-A074-29978FF4275F}"/>
            </c:ext>
          </c:extLst>
        </c:ser>
        <c:dLbls>
          <c:showLegendKey val="0"/>
          <c:showVal val="0"/>
          <c:showCatName val="0"/>
          <c:showSerName val="0"/>
          <c:showPercent val="0"/>
          <c:showBubbleSize val="0"/>
        </c:dLbls>
        <c:smooth val="0"/>
        <c:axId val="771380400"/>
        <c:axId val="771380760"/>
        <c:extLst>
          <c:ext xmlns:c15="http://schemas.microsoft.com/office/drawing/2012/chart" uri="{02D57815-91ED-43cb-92C2-25804820EDAC}">
            <c15:filteredLineSeries>
              <c15:ser>
                <c:idx val="0"/>
                <c:order val="0"/>
                <c:tx>
                  <c:strRef>
                    <c:extLst>
                      <c:ext uri="{02D57815-91ED-43cb-92C2-25804820EDAC}">
                        <c15:formulaRef>
                          <c15:sqref>Region!$B$40</c15:sqref>
                        </c15:formulaRef>
                      </c:ext>
                    </c:extLst>
                    <c:strCache>
                      <c:ptCount val="1"/>
                      <c:pt idx="0">
                        <c:v>Year</c:v>
                      </c:pt>
                    </c:strCache>
                  </c:strRef>
                </c:tx>
                <c:spPr>
                  <a:ln w="28575" cap="rnd">
                    <a:solidFill>
                      <a:schemeClr val="accent1"/>
                    </a:solidFill>
                    <a:round/>
                  </a:ln>
                  <a:effectLst/>
                </c:spPr>
                <c:marker>
                  <c:symbol val="none"/>
                </c:marker>
                <c:cat>
                  <c:numRef>
                    <c:extLst>
                      <c:ext uri="{02D57815-91ED-43cb-92C2-25804820EDAC}">
                        <c15:formulaRef>
                          <c15:sqref>Region!$C$40:$W$40</c15:sqref>
                        </c15:formulaRef>
                      </c:ext>
                    </c:extLst>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extLst>
                      <c:ext uri="{02D57815-91ED-43cb-92C2-25804820EDAC}">
                        <c15:formulaRef>
                          <c15:sqref>Region!$C$40:$W$40</c15:sqref>
                        </c15:formulaRef>
                      </c:ext>
                    </c:extLst>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val>
                <c:smooth val="0"/>
                <c:extLst>
                  <c:ext xmlns:c16="http://schemas.microsoft.com/office/drawing/2014/chart" uri="{C3380CC4-5D6E-409C-BE32-E72D297353CC}">
                    <c16:uniqueId val="{00000002-5F79-4482-A074-29978FF4275F}"/>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Region!$B$41</c15:sqref>
                        </c15:formulaRef>
                      </c:ext>
                    </c:extLst>
                    <c:strCache>
                      <c:ptCount val="1"/>
                      <c:pt idx="0">
                        <c:v>Auckland Region</c:v>
                      </c:pt>
                    </c:strCache>
                  </c:strRef>
                </c:tx>
                <c:spPr>
                  <a:ln w="28575" cap="rnd">
                    <a:solidFill>
                      <a:schemeClr val="accent2"/>
                    </a:solidFill>
                    <a:round/>
                  </a:ln>
                  <a:effectLst/>
                </c:spPr>
                <c:marker>
                  <c:symbol val="none"/>
                </c:marker>
                <c:cat>
                  <c:numRef>
                    <c:extLst xmlns:c15="http://schemas.microsoft.com/office/drawing/2012/chart">
                      <c:ext xmlns:c15="http://schemas.microsoft.com/office/drawing/2012/chart" uri="{02D57815-91ED-43cb-92C2-25804820EDAC}">
                        <c15:formulaRef>
                          <c15:sqref>Region!$C$40:$W$40</c15:sqref>
                        </c15:formulaRef>
                      </c:ext>
                    </c:extLst>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extLst xmlns:c15="http://schemas.microsoft.com/office/drawing/2012/chart">
                      <c:ext xmlns:c15="http://schemas.microsoft.com/office/drawing/2012/chart" uri="{02D57815-91ED-43cb-92C2-25804820EDAC}">
                        <c15:formulaRef>
                          <c15:sqref>Region!$C$41:$W$41</c15:sqref>
                        </c15:formulaRef>
                      </c:ext>
                    </c:extLst>
                    <c:numCache>
                      <c:formatCode>General</c:formatCode>
                      <c:ptCount val="21"/>
                      <c:pt idx="0">
                        <c:v>535900</c:v>
                      </c:pt>
                      <c:pt idx="1">
                        <c:v>557900</c:v>
                      </c:pt>
                      <c:pt idx="2">
                        <c:v>582600</c:v>
                      </c:pt>
                      <c:pt idx="3">
                        <c:v>603900</c:v>
                      </c:pt>
                      <c:pt idx="4">
                        <c:v>618300</c:v>
                      </c:pt>
                      <c:pt idx="5">
                        <c:v>632900</c:v>
                      </c:pt>
                      <c:pt idx="6">
                        <c:v>649300</c:v>
                      </c:pt>
                      <c:pt idx="7">
                        <c:v>627100</c:v>
                      </c:pt>
                      <c:pt idx="8">
                        <c:v>619500</c:v>
                      </c:pt>
                      <c:pt idx="9">
                        <c:v>631100</c:v>
                      </c:pt>
                      <c:pt idx="10">
                        <c:v>646000</c:v>
                      </c:pt>
                      <c:pt idx="11">
                        <c:v>653800</c:v>
                      </c:pt>
                      <c:pt idx="12">
                        <c:v>672400</c:v>
                      </c:pt>
                      <c:pt idx="13">
                        <c:v>696900</c:v>
                      </c:pt>
                      <c:pt idx="14">
                        <c:v>724600</c:v>
                      </c:pt>
                      <c:pt idx="15">
                        <c:v>757400</c:v>
                      </c:pt>
                      <c:pt idx="16">
                        <c:v>780100</c:v>
                      </c:pt>
                      <c:pt idx="17">
                        <c:v>798900</c:v>
                      </c:pt>
                      <c:pt idx="18">
                        <c:v>813900</c:v>
                      </c:pt>
                      <c:pt idx="19">
                        <c:v>802300</c:v>
                      </c:pt>
                      <c:pt idx="20">
                        <c:v>836200</c:v>
                      </c:pt>
                    </c:numCache>
                  </c:numRef>
                </c:val>
                <c:smooth val="0"/>
                <c:extLst xmlns:c15="http://schemas.microsoft.com/office/drawing/2012/chart">
                  <c:ext xmlns:c16="http://schemas.microsoft.com/office/drawing/2014/chart" uri="{C3380CC4-5D6E-409C-BE32-E72D297353CC}">
                    <c16:uniqueId val="{00000003-5F79-4482-A074-29978FF4275F}"/>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Region!$B$42</c15:sqref>
                        </c15:formulaRef>
                      </c:ext>
                    </c:extLst>
                    <c:strCache>
                      <c:ptCount val="1"/>
                      <c:pt idx="0">
                        <c:v>Auckland Region</c:v>
                      </c:pt>
                    </c:strCache>
                  </c:strRef>
                </c:tx>
                <c:spPr>
                  <a:ln w="28575" cap="rnd">
                    <a:solidFill>
                      <a:schemeClr val="accent3"/>
                    </a:solidFill>
                    <a:round/>
                  </a:ln>
                  <a:effectLst/>
                </c:spPr>
                <c:marker>
                  <c:symbol val="none"/>
                </c:marker>
                <c:cat>
                  <c:numRef>
                    <c:extLst xmlns:c15="http://schemas.microsoft.com/office/drawing/2012/chart">
                      <c:ext xmlns:c15="http://schemas.microsoft.com/office/drawing/2012/chart" uri="{02D57815-91ED-43cb-92C2-25804820EDAC}">
                        <c15:formulaRef>
                          <c15:sqref>Region!$C$40:$W$40</c15:sqref>
                        </c15:formulaRef>
                      </c:ext>
                    </c:extLst>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extLst xmlns:c15="http://schemas.microsoft.com/office/drawing/2012/chart">
                      <c:ext xmlns:c15="http://schemas.microsoft.com/office/drawing/2012/chart" uri="{02D57815-91ED-43cb-92C2-25804820EDAC}">
                        <c15:formulaRef>
                          <c15:sqref>Region!$C$42:$W$42</c15:sqref>
                        </c15:formulaRef>
                      </c:ext>
                    </c:extLst>
                    <c:numCache>
                      <c:formatCode>General</c:formatCode>
                      <c:ptCount val="21"/>
                      <c:pt idx="0">
                        <c:v>121839</c:v>
                      </c:pt>
                      <c:pt idx="1">
                        <c:v>127983</c:v>
                      </c:pt>
                      <c:pt idx="2">
                        <c:v>142332</c:v>
                      </c:pt>
                      <c:pt idx="3">
                        <c:v>149604</c:v>
                      </c:pt>
                      <c:pt idx="4">
                        <c:v>154629</c:v>
                      </c:pt>
                      <c:pt idx="5">
                        <c:v>157770</c:v>
                      </c:pt>
                      <c:pt idx="6">
                        <c:v>161892</c:v>
                      </c:pt>
                      <c:pt idx="7">
                        <c:v>163353</c:v>
                      </c:pt>
                      <c:pt idx="8">
                        <c:v>161043</c:v>
                      </c:pt>
                      <c:pt idx="9">
                        <c:v>162834</c:v>
                      </c:pt>
                      <c:pt idx="10">
                        <c:v>163476</c:v>
                      </c:pt>
                      <c:pt idx="11">
                        <c:v>165576</c:v>
                      </c:pt>
                      <c:pt idx="12">
                        <c:v>173385</c:v>
                      </c:pt>
                      <c:pt idx="13">
                        <c:v>179517</c:v>
                      </c:pt>
                      <c:pt idx="14">
                        <c:v>186018</c:v>
                      </c:pt>
                      <c:pt idx="15">
                        <c:v>193854</c:v>
                      </c:pt>
                      <c:pt idx="16">
                        <c:v>197046</c:v>
                      </c:pt>
                      <c:pt idx="17">
                        <c:v>202119</c:v>
                      </c:pt>
                      <c:pt idx="18">
                        <c:v>207069</c:v>
                      </c:pt>
                      <c:pt idx="19">
                        <c:v>209523</c:v>
                      </c:pt>
                      <c:pt idx="20">
                        <c:v>220080</c:v>
                      </c:pt>
                    </c:numCache>
                  </c:numRef>
                </c:val>
                <c:smooth val="0"/>
                <c:extLst xmlns:c15="http://schemas.microsoft.com/office/drawing/2012/chart">
                  <c:ext xmlns:c16="http://schemas.microsoft.com/office/drawing/2014/chart" uri="{C3380CC4-5D6E-409C-BE32-E72D297353CC}">
                    <c16:uniqueId val="{00000004-5F79-4482-A074-29978FF4275F}"/>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Region!$B$44</c15:sqref>
                        </c15:formulaRef>
                      </c:ext>
                    </c:extLst>
                    <c:strCache>
                      <c:ptCount val="1"/>
                      <c:pt idx="0">
                        <c:v>New Zealand</c:v>
                      </c:pt>
                    </c:strCache>
                  </c:strRef>
                </c:tx>
                <c:spPr>
                  <a:ln w="28575" cap="rnd">
                    <a:solidFill>
                      <a:schemeClr val="accent5"/>
                    </a:solidFill>
                    <a:round/>
                  </a:ln>
                  <a:effectLst/>
                </c:spPr>
                <c:marker>
                  <c:symbol val="none"/>
                </c:marker>
                <c:cat>
                  <c:numRef>
                    <c:extLst xmlns:c15="http://schemas.microsoft.com/office/drawing/2012/chart">
                      <c:ext xmlns:c15="http://schemas.microsoft.com/office/drawing/2012/chart" uri="{02D57815-91ED-43cb-92C2-25804820EDAC}">
                        <c15:formulaRef>
                          <c15:sqref>Region!$C$40:$W$40</c15:sqref>
                        </c15:formulaRef>
                      </c:ext>
                    </c:extLst>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extLst xmlns:c15="http://schemas.microsoft.com/office/drawing/2012/chart">
                      <c:ext xmlns:c15="http://schemas.microsoft.com/office/drawing/2012/chart" uri="{02D57815-91ED-43cb-92C2-25804820EDAC}">
                        <c15:formulaRef>
                          <c15:sqref>Region!$C$44:$W$44</c15:sqref>
                        </c15:formulaRef>
                      </c:ext>
                    </c:extLst>
                    <c:numCache>
                      <c:formatCode>General</c:formatCode>
                      <c:ptCount val="21"/>
                      <c:pt idx="0">
                        <c:v>1674600</c:v>
                      </c:pt>
                      <c:pt idx="1">
                        <c:v>1729100</c:v>
                      </c:pt>
                      <c:pt idx="2">
                        <c:v>1800900</c:v>
                      </c:pt>
                      <c:pt idx="3">
                        <c:v>1862500</c:v>
                      </c:pt>
                      <c:pt idx="4">
                        <c:v>1897400</c:v>
                      </c:pt>
                      <c:pt idx="5">
                        <c:v>1937800</c:v>
                      </c:pt>
                      <c:pt idx="6">
                        <c:v>1985200</c:v>
                      </c:pt>
                      <c:pt idx="7">
                        <c:v>1935000</c:v>
                      </c:pt>
                      <c:pt idx="8">
                        <c:v>1908100</c:v>
                      </c:pt>
                      <c:pt idx="9">
                        <c:v>1917300</c:v>
                      </c:pt>
                      <c:pt idx="10">
                        <c:v>1934600</c:v>
                      </c:pt>
                      <c:pt idx="11">
                        <c:v>1949600</c:v>
                      </c:pt>
                      <c:pt idx="12">
                        <c:v>2003900</c:v>
                      </c:pt>
                      <c:pt idx="13">
                        <c:v>2054000</c:v>
                      </c:pt>
                      <c:pt idx="14">
                        <c:v>2107000</c:v>
                      </c:pt>
                      <c:pt idx="15">
                        <c:v>2166400</c:v>
                      </c:pt>
                      <c:pt idx="16">
                        <c:v>2237900</c:v>
                      </c:pt>
                      <c:pt idx="17">
                        <c:v>2289900</c:v>
                      </c:pt>
                      <c:pt idx="18">
                        <c:v>2332700</c:v>
                      </c:pt>
                      <c:pt idx="19">
                        <c:v>2314700</c:v>
                      </c:pt>
                      <c:pt idx="20">
                        <c:v>2393100</c:v>
                      </c:pt>
                    </c:numCache>
                  </c:numRef>
                </c:val>
                <c:smooth val="0"/>
                <c:extLst xmlns:c15="http://schemas.microsoft.com/office/drawing/2012/chart">
                  <c:ext xmlns:c16="http://schemas.microsoft.com/office/drawing/2014/chart" uri="{C3380CC4-5D6E-409C-BE32-E72D297353CC}">
                    <c16:uniqueId val="{00000005-5F79-4482-A074-29978FF4275F}"/>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Region!$B$45</c15:sqref>
                        </c15:formulaRef>
                      </c:ext>
                    </c:extLst>
                    <c:strCache>
                      <c:ptCount val="1"/>
                      <c:pt idx="0">
                        <c:v>New Zealand</c:v>
                      </c:pt>
                    </c:strCache>
                  </c:strRef>
                </c:tx>
                <c:spPr>
                  <a:ln w="28575" cap="rnd">
                    <a:solidFill>
                      <a:schemeClr val="accent6"/>
                    </a:solidFill>
                    <a:round/>
                  </a:ln>
                  <a:effectLst/>
                </c:spPr>
                <c:marker>
                  <c:symbol val="none"/>
                </c:marker>
                <c:cat>
                  <c:numRef>
                    <c:extLst xmlns:c15="http://schemas.microsoft.com/office/drawing/2012/chart">
                      <c:ext xmlns:c15="http://schemas.microsoft.com/office/drawing/2012/chart" uri="{02D57815-91ED-43cb-92C2-25804820EDAC}">
                        <c15:formulaRef>
                          <c15:sqref>Region!$C$40:$W$40</c15:sqref>
                        </c15:formulaRef>
                      </c:ext>
                    </c:extLst>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extLst xmlns:c15="http://schemas.microsoft.com/office/drawing/2012/chart">
                      <c:ext xmlns:c15="http://schemas.microsoft.com/office/drawing/2012/chart" uri="{02D57815-91ED-43cb-92C2-25804820EDAC}">
                        <c15:formulaRef>
                          <c15:sqref>Region!$C$45:$W$45</c15:sqref>
                        </c15:formulaRef>
                      </c:ext>
                    </c:extLst>
                    <c:numCache>
                      <c:formatCode>General</c:formatCode>
                      <c:ptCount val="21"/>
                      <c:pt idx="0">
                        <c:v>407736</c:v>
                      </c:pt>
                      <c:pt idx="1">
                        <c:v>421785</c:v>
                      </c:pt>
                      <c:pt idx="2">
                        <c:v>456786</c:v>
                      </c:pt>
                      <c:pt idx="3">
                        <c:v>476499</c:v>
                      </c:pt>
                      <c:pt idx="4">
                        <c:v>493542</c:v>
                      </c:pt>
                      <c:pt idx="5">
                        <c:v>504384</c:v>
                      </c:pt>
                      <c:pt idx="6">
                        <c:v>514962</c:v>
                      </c:pt>
                      <c:pt idx="7">
                        <c:v>518604</c:v>
                      </c:pt>
                      <c:pt idx="8">
                        <c:v>511452</c:v>
                      </c:pt>
                      <c:pt idx="9">
                        <c:v>511203</c:v>
                      </c:pt>
                      <c:pt idx="10">
                        <c:v>510270</c:v>
                      </c:pt>
                      <c:pt idx="11">
                        <c:v>513219</c:v>
                      </c:pt>
                      <c:pt idx="12">
                        <c:v>531132</c:v>
                      </c:pt>
                      <c:pt idx="13">
                        <c:v>543678</c:v>
                      </c:pt>
                      <c:pt idx="14">
                        <c:v>553596</c:v>
                      </c:pt>
                      <c:pt idx="15">
                        <c:v>567771</c:v>
                      </c:pt>
                      <c:pt idx="16">
                        <c:v>573558</c:v>
                      </c:pt>
                      <c:pt idx="17">
                        <c:v>585531</c:v>
                      </c:pt>
                      <c:pt idx="18">
                        <c:v>596415</c:v>
                      </c:pt>
                      <c:pt idx="19">
                        <c:v>600372</c:v>
                      </c:pt>
                      <c:pt idx="20">
                        <c:v>628944</c:v>
                      </c:pt>
                    </c:numCache>
                  </c:numRef>
                </c:val>
                <c:smooth val="0"/>
                <c:extLst xmlns:c15="http://schemas.microsoft.com/office/drawing/2012/chart">
                  <c:ext xmlns:c16="http://schemas.microsoft.com/office/drawing/2014/chart" uri="{C3380CC4-5D6E-409C-BE32-E72D297353CC}">
                    <c16:uniqueId val="{00000006-5F79-4482-A074-29978FF4275F}"/>
                  </c:ext>
                </c:extLst>
              </c15:ser>
            </c15:filteredLineSeries>
          </c:ext>
        </c:extLst>
      </c:lineChart>
      <c:catAx>
        <c:axId val="771380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National 2" panose="02000003000000000000" pitchFamily="50" charset="0"/>
                <a:ea typeface="+mn-ea"/>
                <a:cs typeface="+mn-cs"/>
              </a:defRPr>
            </a:pPr>
            <a:endParaRPr lang="en-US"/>
          </a:p>
        </c:txPr>
        <c:crossAx val="771380760"/>
        <c:crosses val="autoZero"/>
        <c:auto val="1"/>
        <c:lblAlgn val="ctr"/>
        <c:lblOffset val="100"/>
        <c:tickLblSkip val="4"/>
        <c:noMultiLvlLbl val="0"/>
      </c:catAx>
      <c:valAx>
        <c:axId val="771380760"/>
        <c:scaling>
          <c:orientation val="minMax"/>
          <c:max val="16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National 2" panose="02000003000000000000" pitchFamily="50" charset="0"/>
                <a:ea typeface="+mn-ea"/>
                <a:cs typeface="+mn-cs"/>
              </a:defRPr>
            </a:pPr>
            <a:endParaRPr lang="en-US"/>
          </a:p>
        </c:txPr>
        <c:crossAx val="771380400"/>
        <c:crosses val="autoZero"/>
        <c:crossBetween val="between"/>
        <c:majorUnit val="80"/>
      </c:valAx>
      <c:spPr>
        <a:noFill/>
        <a:ln>
          <a:noFill/>
        </a:ln>
        <a:effectLst/>
      </c:spPr>
    </c:plotArea>
    <c:legend>
      <c:legendPos val="t"/>
      <c:layout>
        <c:manualLayout>
          <c:xMode val="edge"/>
          <c:yMode val="edge"/>
          <c:x val="0.19382080543896771"/>
          <c:y val="2.7777777777777776E-2"/>
          <c:w val="0.67765236393908912"/>
          <c:h val="0.1795819000885758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National 2" panose="02000003000000000000" pitchFamily="50"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4"/>
          <c:order val="3"/>
          <c:tx>
            <c:strRef>
              <c:f>Region!$T$12</c:f>
              <c:strCache>
                <c:ptCount val="1"/>
                <c:pt idx="0">
                  <c:v>LQ 2002</c:v>
                </c:pt>
              </c:strCache>
            </c:strRef>
          </c:tx>
          <c:spPr>
            <a:solidFill>
              <a:srgbClr val="00A6A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National 2" panose="02000003000000000000" pitchFamily="50"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Region!$O$13:$O$19</c:f>
              <c:strCache>
                <c:ptCount val="7"/>
                <c:pt idx="0">
                  <c:v>Prof, Scientific &amp; Tech Services</c:v>
                </c:pt>
                <c:pt idx="1">
                  <c:v>Healthcare &amp; Social Assistance</c:v>
                </c:pt>
                <c:pt idx="2">
                  <c:v>Retail Trade</c:v>
                </c:pt>
                <c:pt idx="3">
                  <c:v>Manufacturing</c:v>
                </c:pt>
                <c:pt idx="4">
                  <c:v>Construction</c:v>
                </c:pt>
                <c:pt idx="5">
                  <c:v>Education &amp; Training</c:v>
                </c:pt>
                <c:pt idx="6">
                  <c:v>Wholesale Trade</c:v>
                </c:pt>
              </c:strCache>
            </c:strRef>
          </c:cat>
          <c:val>
            <c:numRef>
              <c:f>Region!$T$13:$T$19</c:f>
              <c:numCache>
                <c:formatCode>0.0</c:formatCode>
                <c:ptCount val="7"/>
                <c:pt idx="0">
                  <c:v>1.3396211929001762</c:v>
                </c:pt>
                <c:pt idx="1">
                  <c:v>0.83996844102675727</c:v>
                </c:pt>
                <c:pt idx="2">
                  <c:v>0.96738103804744113</c:v>
                </c:pt>
                <c:pt idx="3">
                  <c:v>1.0377448689074917</c:v>
                </c:pt>
                <c:pt idx="4">
                  <c:v>0.9222743504543166</c:v>
                </c:pt>
                <c:pt idx="5">
                  <c:v>0.95518058704188225</c:v>
                </c:pt>
                <c:pt idx="6">
                  <c:v>1.6320803268030566</c:v>
                </c:pt>
              </c:numCache>
            </c:numRef>
          </c:val>
          <c:extLst>
            <c:ext xmlns:c16="http://schemas.microsoft.com/office/drawing/2014/chart" uri="{C3380CC4-5D6E-409C-BE32-E72D297353CC}">
              <c16:uniqueId val="{00000000-E78B-42D3-B696-4DAFCE8D6B46}"/>
            </c:ext>
          </c:extLst>
        </c:ser>
        <c:ser>
          <c:idx val="3"/>
          <c:order val="4"/>
          <c:tx>
            <c:strRef>
              <c:f>Region!$S$12</c:f>
              <c:strCache>
                <c:ptCount val="1"/>
                <c:pt idx="0">
                  <c:v>LQ 2022</c:v>
                </c:pt>
              </c:strCache>
            </c:strRef>
          </c:tx>
          <c:spPr>
            <a:solidFill>
              <a:srgbClr val="1B384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National 2" panose="02000003000000000000" pitchFamily="50"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Region!$O$13:$O$19</c:f>
              <c:strCache>
                <c:ptCount val="7"/>
                <c:pt idx="0">
                  <c:v>Prof, Scientific &amp; Tech Services</c:v>
                </c:pt>
                <c:pt idx="1">
                  <c:v>Healthcare &amp; Social Assistance</c:v>
                </c:pt>
                <c:pt idx="2">
                  <c:v>Retail Trade</c:v>
                </c:pt>
                <c:pt idx="3">
                  <c:v>Manufacturing</c:v>
                </c:pt>
                <c:pt idx="4">
                  <c:v>Construction</c:v>
                </c:pt>
                <c:pt idx="5">
                  <c:v>Education &amp; Training</c:v>
                </c:pt>
                <c:pt idx="6">
                  <c:v>Wholesale Trade</c:v>
                </c:pt>
              </c:strCache>
            </c:strRef>
          </c:cat>
          <c:val>
            <c:numRef>
              <c:f>Region!$S$13:$S$19</c:f>
              <c:numCache>
                <c:formatCode>0.0</c:formatCode>
                <c:ptCount val="7"/>
                <c:pt idx="0">
                  <c:v>1.2882634470559107</c:v>
                </c:pt>
                <c:pt idx="1">
                  <c:v>0.90457948006873978</c:v>
                </c:pt>
                <c:pt idx="2">
                  <c:v>1.0011028670740936</c:v>
                </c:pt>
                <c:pt idx="3">
                  <c:v>0.9535605689904626</c:v>
                </c:pt>
                <c:pt idx="4">
                  <c:v>0.98415562694546588</c:v>
                </c:pt>
                <c:pt idx="5">
                  <c:v>0.94331584541873736</c:v>
                </c:pt>
                <c:pt idx="6">
                  <c:v>1.4569546215563915</c:v>
                </c:pt>
              </c:numCache>
            </c:numRef>
          </c:val>
          <c:extLst>
            <c:ext xmlns:c16="http://schemas.microsoft.com/office/drawing/2014/chart" uri="{C3380CC4-5D6E-409C-BE32-E72D297353CC}">
              <c16:uniqueId val="{00000001-E78B-42D3-B696-4DAFCE8D6B46}"/>
            </c:ext>
          </c:extLst>
        </c:ser>
        <c:dLbls>
          <c:showLegendKey val="0"/>
          <c:showVal val="0"/>
          <c:showCatName val="0"/>
          <c:showSerName val="0"/>
          <c:showPercent val="0"/>
          <c:showBubbleSize val="0"/>
        </c:dLbls>
        <c:gapWidth val="219"/>
        <c:overlap val="-27"/>
        <c:axId val="1037345440"/>
        <c:axId val="1037350840"/>
        <c:extLst>
          <c:ext xmlns:c15="http://schemas.microsoft.com/office/drawing/2012/chart" uri="{02D57815-91ED-43cb-92C2-25804820EDAC}">
            <c15:filteredBarSeries>
              <c15:ser>
                <c:idx val="0"/>
                <c:order val="0"/>
                <c:tx>
                  <c:strRef>
                    <c:extLst>
                      <c:ext uri="{02D57815-91ED-43cb-92C2-25804820EDAC}">
                        <c15:formulaRef>
                          <c15:sqref>Region!$P$12</c15:sqref>
                        </c15:formulaRef>
                      </c:ext>
                    </c:extLst>
                    <c:strCache>
                      <c:ptCount val="1"/>
                      <c:pt idx="0">
                        <c:v>Jobs</c:v>
                      </c:pt>
                    </c:strCache>
                  </c:strRef>
                </c:tx>
                <c:spPr>
                  <a:solidFill>
                    <a:schemeClr val="accent1"/>
                  </a:solidFill>
                  <a:ln>
                    <a:noFill/>
                  </a:ln>
                  <a:effectLst/>
                </c:spPr>
                <c:invertIfNegative val="0"/>
                <c:cat>
                  <c:strRef>
                    <c:extLst>
                      <c:ext uri="{02D57815-91ED-43cb-92C2-25804820EDAC}">
                        <c15:formulaRef>
                          <c15:sqref>Region!$O$13:$O$19</c15:sqref>
                        </c15:formulaRef>
                      </c:ext>
                    </c:extLst>
                    <c:strCache>
                      <c:ptCount val="7"/>
                      <c:pt idx="0">
                        <c:v>Prof, Scientific &amp; Tech Services</c:v>
                      </c:pt>
                      <c:pt idx="1">
                        <c:v>Healthcare &amp; Social Assistance</c:v>
                      </c:pt>
                      <c:pt idx="2">
                        <c:v>Retail Trade</c:v>
                      </c:pt>
                      <c:pt idx="3">
                        <c:v>Manufacturing</c:v>
                      </c:pt>
                      <c:pt idx="4">
                        <c:v>Construction</c:v>
                      </c:pt>
                      <c:pt idx="5">
                        <c:v>Education &amp; Training</c:v>
                      </c:pt>
                      <c:pt idx="6">
                        <c:v>Wholesale Trade</c:v>
                      </c:pt>
                    </c:strCache>
                  </c:strRef>
                </c:cat>
                <c:val>
                  <c:numRef>
                    <c:extLst>
                      <c:ext uri="{02D57815-91ED-43cb-92C2-25804820EDAC}">
                        <c15:formulaRef>
                          <c15:sqref>Region!$P$13:$P$19</c15:sqref>
                        </c15:formulaRef>
                      </c:ext>
                    </c:extLst>
                    <c:numCache>
                      <c:formatCode>General</c:formatCode>
                      <c:ptCount val="7"/>
                      <c:pt idx="0">
                        <c:v>92100</c:v>
                      </c:pt>
                      <c:pt idx="1">
                        <c:v>86100</c:v>
                      </c:pt>
                      <c:pt idx="2">
                        <c:v>81400</c:v>
                      </c:pt>
                      <c:pt idx="3">
                        <c:v>79900</c:v>
                      </c:pt>
                      <c:pt idx="4">
                        <c:v>71700</c:v>
                      </c:pt>
                      <c:pt idx="5">
                        <c:v>65000</c:v>
                      </c:pt>
                      <c:pt idx="6">
                        <c:v>61600</c:v>
                      </c:pt>
                    </c:numCache>
                  </c:numRef>
                </c:val>
                <c:extLst>
                  <c:ext xmlns:c16="http://schemas.microsoft.com/office/drawing/2014/chart" uri="{C3380CC4-5D6E-409C-BE32-E72D297353CC}">
                    <c16:uniqueId val="{00000002-E78B-42D3-B696-4DAFCE8D6B46}"/>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Region!$Q$12</c15:sqref>
                        </c15:formulaRef>
                      </c:ext>
                    </c:extLst>
                    <c:strCache>
                      <c:ptCount val="1"/>
                      <c:pt idx="0">
                        <c:v>% of Akl</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Region!$O$13:$O$19</c15:sqref>
                        </c15:formulaRef>
                      </c:ext>
                    </c:extLst>
                    <c:strCache>
                      <c:ptCount val="7"/>
                      <c:pt idx="0">
                        <c:v>Prof, Scientific &amp; Tech Services</c:v>
                      </c:pt>
                      <c:pt idx="1">
                        <c:v>Healthcare &amp; Social Assistance</c:v>
                      </c:pt>
                      <c:pt idx="2">
                        <c:v>Retail Trade</c:v>
                      </c:pt>
                      <c:pt idx="3">
                        <c:v>Manufacturing</c:v>
                      </c:pt>
                      <c:pt idx="4">
                        <c:v>Construction</c:v>
                      </c:pt>
                      <c:pt idx="5">
                        <c:v>Education &amp; Training</c:v>
                      </c:pt>
                      <c:pt idx="6">
                        <c:v>Wholesale Trade</c:v>
                      </c:pt>
                    </c:strCache>
                  </c:strRef>
                </c:cat>
                <c:val>
                  <c:numRef>
                    <c:extLst xmlns:c15="http://schemas.microsoft.com/office/drawing/2012/chart">
                      <c:ext xmlns:c15="http://schemas.microsoft.com/office/drawing/2012/chart" uri="{02D57815-91ED-43cb-92C2-25804820EDAC}">
                        <c15:formulaRef>
                          <c15:sqref>Region!$Q$13:$Q$19</c15:sqref>
                        </c15:formulaRef>
                      </c:ext>
                    </c:extLst>
                    <c:numCache>
                      <c:formatCode>0.0%</c:formatCode>
                      <c:ptCount val="7"/>
                      <c:pt idx="0">
                        <c:v>0.11014111456589333</c:v>
                      </c:pt>
                      <c:pt idx="1">
                        <c:v>0.10296579765606315</c:v>
                      </c:pt>
                      <c:pt idx="2">
                        <c:v>9.7345132743362831E-2</c:v>
                      </c:pt>
                      <c:pt idx="3">
                        <c:v>9.5551303515905281E-2</c:v>
                      </c:pt>
                      <c:pt idx="4">
                        <c:v>8.5745037072470706E-2</c:v>
                      </c:pt>
                      <c:pt idx="5">
                        <c:v>7.7732599856493667E-2</c:v>
                      </c:pt>
                      <c:pt idx="6">
                        <c:v>7.366658694092322E-2</c:v>
                      </c:pt>
                    </c:numCache>
                  </c:numRef>
                </c:val>
                <c:extLst xmlns:c15="http://schemas.microsoft.com/office/drawing/2012/chart">
                  <c:ext xmlns:c16="http://schemas.microsoft.com/office/drawing/2014/chart" uri="{C3380CC4-5D6E-409C-BE32-E72D297353CC}">
                    <c16:uniqueId val="{00000003-E78B-42D3-B696-4DAFCE8D6B46}"/>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Region!$R$12</c15:sqref>
                        </c15:formulaRef>
                      </c:ext>
                    </c:extLst>
                    <c:strCache>
                      <c:ptCount val="1"/>
                      <c:pt idx="0">
                        <c:v>% of NZ</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Region!$O$13:$O$19</c15:sqref>
                        </c15:formulaRef>
                      </c:ext>
                    </c:extLst>
                    <c:strCache>
                      <c:ptCount val="7"/>
                      <c:pt idx="0">
                        <c:v>Prof, Scientific &amp; Tech Services</c:v>
                      </c:pt>
                      <c:pt idx="1">
                        <c:v>Healthcare &amp; Social Assistance</c:v>
                      </c:pt>
                      <c:pt idx="2">
                        <c:v>Retail Trade</c:v>
                      </c:pt>
                      <c:pt idx="3">
                        <c:v>Manufacturing</c:v>
                      </c:pt>
                      <c:pt idx="4">
                        <c:v>Construction</c:v>
                      </c:pt>
                      <c:pt idx="5">
                        <c:v>Education &amp; Training</c:v>
                      </c:pt>
                      <c:pt idx="6">
                        <c:v>Wholesale Trade</c:v>
                      </c:pt>
                    </c:strCache>
                  </c:strRef>
                </c:cat>
                <c:val>
                  <c:numRef>
                    <c:extLst xmlns:c15="http://schemas.microsoft.com/office/drawing/2012/chart">
                      <c:ext xmlns:c15="http://schemas.microsoft.com/office/drawing/2012/chart" uri="{02D57815-91ED-43cb-92C2-25804820EDAC}">
                        <c15:formulaRef>
                          <c15:sqref>Region!$R$13:$R$19</c15:sqref>
                        </c15:formulaRef>
                      </c:ext>
                    </c:extLst>
                    <c:numCache>
                      <c:formatCode>0.0%</c:formatCode>
                      <c:ptCount val="7"/>
                      <c:pt idx="0">
                        <c:v>8.5495800426225399E-2</c:v>
                      </c:pt>
                      <c:pt idx="1">
                        <c:v>0.113827253353391</c:v>
                      </c:pt>
                      <c:pt idx="2">
                        <c:v>9.7237892273619994E-2</c:v>
                      </c:pt>
                      <c:pt idx="3">
                        <c:v>0.10020475533826417</c:v>
                      </c:pt>
                      <c:pt idx="4">
                        <c:v>8.7125485771593333E-2</c:v>
                      </c:pt>
                      <c:pt idx="5">
                        <c:v>8.2403576950399057E-2</c:v>
                      </c:pt>
                      <c:pt idx="6">
                        <c:v>5.0562032510133297E-2</c:v>
                      </c:pt>
                    </c:numCache>
                  </c:numRef>
                </c:val>
                <c:extLst xmlns:c15="http://schemas.microsoft.com/office/drawing/2012/chart">
                  <c:ext xmlns:c16="http://schemas.microsoft.com/office/drawing/2014/chart" uri="{C3380CC4-5D6E-409C-BE32-E72D297353CC}">
                    <c16:uniqueId val="{00000004-E78B-42D3-B696-4DAFCE8D6B46}"/>
                  </c:ext>
                </c:extLst>
              </c15:ser>
            </c15:filteredBarSeries>
          </c:ext>
        </c:extLst>
      </c:barChart>
      <c:catAx>
        <c:axId val="1037345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National 2" panose="02000003000000000000" pitchFamily="50" charset="0"/>
                <a:ea typeface="+mn-ea"/>
                <a:cs typeface="+mn-cs"/>
              </a:defRPr>
            </a:pPr>
            <a:endParaRPr lang="en-US"/>
          </a:p>
        </c:txPr>
        <c:crossAx val="1037350840"/>
        <c:crosses val="autoZero"/>
        <c:auto val="1"/>
        <c:lblAlgn val="ctr"/>
        <c:lblOffset val="100"/>
        <c:noMultiLvlLbl val="0"/>
      </c:catAx>
      <c:valAx>
        <c:axId val="1037350840"/>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National 2" panose="02000003000000000000" pitchFamily="50" charset="0"/>
                <a:ea typeface="+mn-ea"/>
                <a:cs typeface="+mn-cs"/>
              </a:defRPr>
            </a:pPr>
            <a:endParaRPr lang="en-US"/>
          </a:p>
        </c:txPr>
        <c:crossAx val="1037345440"/>
        <c:crosses val="autoZero"/>
        <c:crossBetween val="between"/>
        <c:majorUnit val="0.5"/>
      </c:valAx>
      <c:spPr>
        <a:noFill/>
        <a:ln>
          <a:noFill/>
        </a:ln>
        <a:effectLst/>
      </c:spPr>
    </c:plotArea>
    <c:legend>
      <c:legendPos val="t"/>
      <c:layout>
        <c:manualLayout>
          <c:xMode val="edge"/>
          <c:yMode val="edge"/>
          <c:x val="0.30678911226574196"/>
          <c:y val="3.6308623298033284E-2"/>
          <c:w val="0.37525171124064666"/>
          <c:h val="9.603821458777561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National 2" panose="02000003000000000000" pitchFamily="50"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'NZ.Stat export'!$C$17</c:f>
              <c:strCache>
                <c:ptCount val="1"/>
                <c:pt idx="0">
                  <c:v>Mode of transport to work</c:v>
                </c:pt>
              </c:strCache>
            </c:strRef>
          </c:tx>
          <c:spPr>
            <a:solidFill>
              <a:srgbClr val="00A6A7"/>
            </a:solidFill>
            <a:ln>
              <a:noFill/>
            </a:ln>
            <a:effectLst/>
          </c:spPr>
          <c:invertIfNegative val="0"/>
          <c:cat>
            <c:strRef>
              <c:f>'NZ.Stat export'!$D$16:$H$16</c:f>
              <c:strCache>
                <c:ptCount val="5"/>
                <c:pt idx="0">
                  <c:v>  Work at home</c:v>
                </c:pt>
                <c:pt idx="1">
                  <c:v>  Drive or passenger in a private or company car, truck or van</c:v>
                </c:pt>
                <c:pt idx="2">
                  <c:v>  Public bus / train or ferry</c:v>
                </c:pt>
                <c:pt idx="3">
                  <c:v>Cycle / walk or jog</c:v>
                </c:pt>
                <c:pt idx="4">
                  <c:v>Other</c:v>
                </c:pt>
              </c:strCache>
            </c:strRef>
          </c:cat>
          <c:val>
            <c:numRef>
              <c:f>'NZ.Stat export'!$D$17:$H$17</c:f>
              <c:numCache>
                <c:formatCode>0.0%</c:formatCode>
                <c:ptCount val="5"/>
                <c:pt idx="0">
                  <c:v>9.5323355432927068E-2</c:v>
                </c:pt>
                <c:pt idx="1">
                  <c:v>0.73436023661121919</c:v>
                </c:pt>
                <c:pt idx="2">
                  <c:v>0.10614156973281988</c:v>
                </c:pt>
                <c:pt idx="3">
                  <c:v>5.1538369923379249E-2</c:v>
                </c:pt>
                <c:pt idx="4">
                  <c:v>1.2632498312755569E-2</c:v>
                </c:pt>
              </c:numCache>
            </c:numRef>
          </c:val>
          <c:extLst>
            <c:ext xmlns:c16="http://schemas.microsoft.com/office/drawing/2014/chart" uri="{C3380CC4-5D6E-409C-BE32-E72D297353CC}">
              <c16:uniqueId val="{00000000-FA1E-4E0D-9FDF-4151F7EE541B}"/>
            </c:ext>
          </c:extLst>
        </c:ser>
        <c:dLbls>
          <c:showLegendKey val="0"/>
          <c:showVal val="0"/>
          <c:showCatName val="0"/>
          <c:showSerName val="0"/>
          <c:showPercent val="0"/>
          <c:showBubbleSize val="0"/>
        </c:dLbls>
        <c:gapWidth val="219"/>
        <c:overlap val="-27"/>
        <c:axId val="416564376"/>
        <c:axId val="416565816"/>
      </c:barChart>
      <c:catAx>
        <c:axId val="416564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National 2" panose="02000003000000000000" pitchFamily="50" charset="0"/>
                <a:ea typeface="+mn-ea"/>
                <a:cs typeface="+mn-cs"/>
              </a:defRPr>
            </a:pPr>
            <a:endParaRPr lang="en-US"/>
          </a:p>
        </c:txPr>
        <c:crossAx val="416565816"/>
        <c:crosses val="autoZero"/>
        <c:auto val="1"/>
        <c:lblAlgn val="ctr"/>
        <c:lblOffset val="100"/>
        <c:noMultiLvlLbl val="0"/>
      </c:catAx>
      <c:valAx>
        <c:axId val="41656581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National 2" panose="02000003000000000000" pitchFamily="50" charset="0"/>
                <a:ea typeface="+mn-ea"/>
                <a:cs typeface="+mn-cs"/>
              </a:defRPr>
            </a:pPr>
            <a:endParaRPr lang="en-US"/>
          </a:p>
        </c:txPr>
        <c:crossAx val="416564376"/>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0.89084</cdr:x>
      <cdr:y>0.02252</cdr:y>
    </cdr:from>
    <cdr:to>
      <cdr:x>1</cdr:x>
      <cdr:y>0.18681</cdr:y>
    </cdr:to>
    <cdr:sp macro="" textlink="">
      <cdr:nvSpPr>
        <cdr:cNvPr id="2" name="TextBox 1"/>
        <cdr:cNvSpPr txBox="1"/>
      </cdr:nvSpPr>
      <cdr:spPr>
        <a:xfrm xmlns:a="http://schemas.openxmlformats.org/drawingml/2006/main">
          <a:off x="3860800" y="26026"/>
          <a:ext cx="473075" cy="18987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NZ" sz="800" b="0">
              <a:solidFill>
                <a:srgbClr val="00A6A7"/>
              </a:solidFill>
              <a:latin typeface="National 2" panose="02000003000000000000" pitchFamily="50" charset="0"/>
            </a:rPr>
            <a:t>Units</a:t>
          </a:r>
        </a:p>
      </cdr:txBody>
    </cdr:sp>
  </cdr:relSizeAnchor>
  <cdr:relSizeAnchor xmlns:cdr="http://schemas.openxmlformats.org/drawingml/2006/chartDrawing">
    <cdr:from>
      <cdr:x>0.01612</cdr:x>
      <cdr:y>0.00604</cdr:y>
    </cdr:from>
    <cdr:to>
      <cdr:x>0.17688</cdr:x>
      <cdr:y>0.15934</cdr:y>
    </cdr:to>
    <cdr:sp macro="" textlink="">
      <cdr:nvSpPr>
        <cdr:cNvPr id="3" name="TextBox 1"/>
        <cdr:cNvSpPr txBox="1"/>
      </cdr:nvSpPr>
      <cdr:spPr>
        <a:xfrm xmlns:a="http://schemas.openxmlformats.org/drawingml/2006/main">
          <a:off x="69850" y="6976"/>
          <a:ext cx="696726" cy="17717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NZ" sz="800" b="0">
              <a:solidFill>
                <a:srgbClr val="00A6A7"/>
              </a:solidFill>
              <a:latin typeface="National 2" panose="02000003000000000000" pitchFamily="50" charset="0"/>
            </a:rPr>
            <a:t>Jobs</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0.20495</cdr:x>
      <cdr:y>0.29771</cdr:y>
    </cdr:to>
    <cdr:sp macro="" textlink="">
      <cdr:nvSpPr>
        <cdr:cNvPr id="2" name="TextBox 1"/>
        <cdr:cNvSpPr txBox="1"/>
      </cdr:nvSpPr>
      <cdr:spPr>
        <a:xfrm xmlns:a="http://schemas.openxmlformats.org/drawingml/2006/main">
          <a:off x="0" y="0"/>
          <a:ext cx="886276" cy="2476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NZ" sz="700" b="0">
              <a:solidFill>
                <a:srgbClr val="00A6A7"/>
              </a:solidFill>
              <a:latin typeface="National 2" panose="02000003000000000000" pitchFamily="50" charset="0"/>
            </a:rPr>
            <a:t>Jobs index</a:t>
          </a:r>
        </a:p>
        <a:p xmlns:a="http://schemas.openxmlformats.org/drawingml/2006/main">
          <a:r>
            <a:rPr lang="en-NZ" sz="700" b="0">
              <a:solidFill>
                <a:srgbClr val="00A6A7"/>
              </a:solidFill>
              <a:latin typeface="National 2" panose="02000003000000000000" pitchFamily="50" charset="0"/>
            </a:rPr>
            <a:t>(2002=100</a:t>
          </a:r>
          <a:r>
            <a:rPr lang="en-NZ" sz="800" b="0">
              <a:solidFill>
                <a:srgbClr val="00A6A7"/>
              </a:solidFill>
              <a:latin typeface="National 2" panose="02000003000000000000" pitchFamily="50" charset="0"/>
            </a:rPr>
            <a:t>)</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0.00303</cdr:y>
    </cdr:from>
    <cdr:to>
      <cdr:x>0.28379</cdr:x>
      <cdr:y>0.17829</cdr:y>
    </cdr:to>
    <cdr:sp macro="" textlink="">
      <cdr:nvSpPr>
        <cdr:cNvPr id="2" name="TextBox 1">
          <a:extLst xmlns:a="http://schemas.openxmlformats.org/drawingml/2006/main">
            <a:ext uri="{FF2B5EF4-FFF2-40B4-BE49-F238E27FC236}">
              <a16:creationId xmlns:a16="http://schemas.microsoft.com/office/drawing/2014/main" id="{AB3AC783-A607-2481-E53D-34A3290322FB}"/>
            </a:ext>
          </a:extLst>
        </cdr:cNvPr>
        <cdr:cNvSpPr txBox="1"/>
      </cdr:nvSpPr>
      <cdr:spPr>
        <a:xfrm xmlns:a="http://schemas.openxmlformats.org/drawingml/2006/main">
          <a:off x="0" y="3723"/>
          <a:ext cx="1269376" cy="21535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NZ" sz="800" b="0">
              <a:solidFill>
                <a:srgbClr val="00A6A7"/>
              </a:solidFill>
              <a:latin typeface="National 2" panose="02000003000000000000" pitchFamily="50" charset="0"/>
            </a:rPr>
            <a:t>Location Quotient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f1e5c9a-5dcb-4ac7-a5bc-445d1e060f34">
      <Terms xmlns="http://schemas.microsoft.com/office/infopath/2007/PartnerControls"/>
    </lcf76f155ced4ddcb4097134ff3c332f>
    <TaxCatchAll xmlns="302fee48-89da-4ab6-a84d-ab5d01b3b441" xsi:nil="true"/>
    <SharedWithUsers xmlns="302fee48-89da-4ab6-a84d-ab5d01b3b441">
      <UserInfo>
        <DisplayName>John Lavery</DisplayName>
        <AccountId>806</AccountId>
        <AccountType/>
      </UserInfo>
      <UserInfo>
        <DisplayName>John Norman (Head of Economic Places)</DisplayName>
        <AccountId>22</AccountId>
        <AccountType/>
      </UserInfo>
      <UserInfo>
        <DisplayName>Alex Norman</DisplayName>
        <AccountId>779</AccountId>
        <AccountType/>
      </UserInfo>
      <UserInfo>
        <DisplayName>Isabel Emerson</DisplayName>
        <AccountId>802</AccountId>
        <AccountType/>
      </UserInfo>
      <UserInfo>
        <DisplayName>Jonathan Sudworth</DisplayName>
        <AccountId>23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53FAB95D3A6D47BE4DCD433612421E" ma:contentTypeVersion="17" ma:contentTypeDescription="Create a new document." ma:contentTypeScope="" ma:versionID="aab23f5add4672b1fd053c732cfbfa4a">
  <xsd:schema xmlns:xsd="http://www.w3.org/2001/XMLSchema" xmlns:xs="http://www.w3.org/2001/XMLSchema" xmlns:p="http://schemas.microsoft.com/office/2006/metadata/properties" xmlns:ns1="http://schemas.microsoft.com/sharepoint/v3" xmlns:ns2="2f1e5c9a-5dcb-4ac7-a5bc-445d1e060f34" xmlns:ns3="302fee48-89da-4ab6-a84d-ab5d01b3b441" targetNamespace="http://schemas.microsoft.com/office/2006/metadata/properties" ma:root="true" ma:fieldsID="ff023cb36fba257bc5b31cf70e11acd0" ns1:_="" ns2:_="" ns3:_="">
    <xsd:import namespace="http://schemas.microsoft.com/sharepoint/v3"/>
    <xsd:import namespace="2f1e5c9a-5dcb-4ac7-a5bc-445d1e060f34"/>
    <xsd:import namespace="302fee48-89da-4ab6-a84d-ab5d01b3b4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1e5c9a-5dcb-4ac7-a5bc-445d1e060f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b3042b-885f-480d-b59e-e43ccdf1efb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2fee48-89da-4ab6-a84d-ab5d01b3b4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8ff0e54-6f09-4d18-8b5e-2ade2f8d5a05}" ma:internalName="TaxCatchAll" ma:showField="CatchAllData" ma:web="302fee48-89da-4ab6-a84d-ab5d01b3b4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D489AB-F721-4156-84BA-4D1DF77C76C3}">
  <ds:schemaRefs>
    <ds:schemaRef ds:uri="http://schemas.openxmlformats.org/officeDocument/2006/bibliography"/>
  </ds:schemaRefs>
</ds:datastoreItem>
</file>

<file path=customXml/itemProps2.xml><?xml version="1.0" encoding="utf-8"?>
<ds:datastoreItem xmlns:ds="http://schemas.openxmlformats.org/officeDocument/2006/customXml" ds:itemID="{3CE86F66-B6AB-4309-8D8B-77D63993577A}">
  <ds:schemaRefs>
    <ds:schemaRef ds:uri="http://schemas.microsoft.com/office/2006/metadata/properties"/>
    <ds:schemaRef ds:uri="http://schemas.microsoft.com/office/infopath/2007/PartnerControls"/>
    <ds:schemaRef ds:uri="http://schemas.microsoft.com/sharepoint/v3"/>
    <ds:schemaRef ds:uri="2f1e5c9a-5dcb-4ac7-a5bc-445d1e060f34"/>
    <ds:schemaRef ds:uri="302fee48-89da-4ab6-a84d-ab5d01b3b441"/>
  </ds:schemaRefs>
</ds:datastoreItem>
</file>

<file path=customXml/itemProps3.xml><?xml version="1.0" encoding="utf-8"?>
<ds:datastoreItem xmlns:ds="http://schemas.openxmlformats.org/officeDocument/2006/customXml" ds:itemID="{F8D69C38-0C85-4397-B5EA-2C2C5862AB5E}"/>
</file>

<file path=customXml/itemProps4.xml><?xml version="1.0" encoding="utf-8"?>
<ds:datastoreItem xmlns:ds="http://schemas.openxmlformats.org/officeDocument/2006/customXml" ds:itemID="{376468D9-C4FA-4C36-AD55-3BD2F07701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2260</TotalTime>
  <Pages>2</Pages>
  <Words>2715</Words>
  <Characters>15478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Auckland Council</Company>
  <LinksUpToDate>false</LinksUpToDate>
  <CharactersWithSpaces>18157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Sudworth</dc:creator>
  <cp:keywords/>
  <dc:description/>
  <cp:lastModifiedBy>Jonathan Sudworth</cp:lastModifiedBy>
  <cp:revision>432</cp:revision>
  <cp:lastPrinted>2023-11-01T22:10:00Z</cp:lastPrinted>
  <dcterms:created xsi:type="dcterms:W3CDTF">2023-09-17T22:13:00Z</dcterms:created>
  <dcterms:modified xsi:type="dcterms:W3CDTF">2023-12-11T22:19:00Z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0x010100AC53FAB95D3A6D47BE4DCD433612421E</vt:lpwstr>
  </property>
  <property fmtid="{D5CDD505-2E9C-101B-9397-08002B2CF9AE}" pid="3" name="MediaServiceImageTags">
    <vt:lpwstr/>
  </property>
</Properties>
</file>